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7D2E" w:rsidRPr="00A83755" w:rsidRDefault="008A7D2E" w:rsidP="008A7D2E">
      <w:pPr>
        <w:rPr>
          <w:rFonts w:ascii="Arial" w:hAnsi="Arial" w:cs="Arial"/>
          <w:b/>
        </w:rPr>
      </w:pPr>
      <w:r w:rsidRPr="00A83755">
        <w:rPr>
          <w:rFonts w:ascii="Arial" w:hAnsi="Arial" w:cs="Arial"/>
          <w:b/>
        </w:rPr>
        <w:t>Supplementary Figures and Tables – Schippers et al. The Plant Journal</w:t>
      </w:r>
    </w:p>
    <w:p w:rsidR="008A7D2E" w:rsidRPr="00A83755" w:rsidRDefault="008A7D2E" w:rsidP="008A7D2E"/>
    <w:p w:rsidR="008A7D2E" w:rsidRPr="00A83755" w:rsidRDefault="008A7D2E" w:rsidP="008A7D2E">
      <w:r w:rsidRPr="00A83755">
        <w:rPr>
          <w:noProof/>
          <w:lang w:val="en-IN" w:eastAsia="en-IN"/>
        </w:rPr>
        <w:drawing>
          <wp:inline distT="0" distB="0" distL="0" distR="0" wp14:anchorId="218EA876" wp14:editId="78E170B5">
            <wp:extent cx="5760720" cy="2543175"/>
            <wp:effectExtent l="0" t="0" r="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ementary_Figure_1_Y2H_Meds_vs_RAPs.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60720" cy="2543175"/>
                    </a:xfrm>
                    <a:prstGeom prst="rect">
                      <a:avLst/>
                    </a:prstGeom>
                  </pic:spPr>
                </pic:pic>
              </a:graphicData>
            </a:graphic>
          </wp:inline>
        </w:drawing>
      </w:r>
    </w:p>
    <w:p w:rsidR="008A7D2E" w:rsidRPr="00A83755" w:rsidRDefault="008A7D2E" w:rsidP="008A7D2E"/>
    <w:p w:rsidR="008A7D2E" w:rsidRPr="00A83755" w:rsidRDefault="008A7D2E" w:rsidP="008A7D2E"/>
    <w:p w:rsidR="008A7D2E" w:rsidRPr="00A83755" w:rsidRDefault="008A7D2E" w:rsidP="008A7D2E">
      <w:pPr>
        <w:spacing w:line="360" w:lineRule="auto"/>
        <w:jc w:val="both"/>
        <w:rPr>
          <w:rFonts w:ascii="Arial" w:hAnsi="Arial" w:cs="Arial"/>
          <w:b/>
        </w:rPr>
      </w:pPr>
      <w:r w:rsidRPr="00A83755">
        <w:rPr>
          <w:rFonts w:ascii="Arial" w:hAnsi="Arial" w:cs="Arial"/>
          <w:b/>
        </w:rPr>
        <w:t xml:space="preserve">Supporting Figure S1. </w:t>
      </w:r>
      <w:r w:rsidRPr="00A83755">
        <w:rPr>
          <w:rFonts w:ascii="Arial" w:hAnsi="Arial" w:cs="Arial"/>
        </w:rPr>
        <w:t>Yeast-two-hybrid assays for testing interaction between Mediator complex subunits with the ERFVII factors RAP2.2 and RAP2.12. (Supports Figure 1)</w:t>
      </w:r>
    </w:p>
    <w:p w:rsidR="008A7D2E" w:rsidRPr="00A83755" w:rsidRDefault="008A7D2E" w:rsidP="008A7D2E">
      <w:pPr>
        <w:spacing w:line="360" w:lineRule="auto"/>
        <w:jc w:val="both"/>
        <w:rPr>
          <w:rFonts w:ascii="Arial" w:hAnsi="Arial" w:cs="Arial"/>
        </w:rPr>
      </w:pPr>
      <w:r w:rsidRPr="00A83755">
        <w:rPr>
          <w:rFonts w:ascii="Arial" w:hAnsi="Arial" w:cs="Arial"/>
        </w:rPr>
        <w:t>(</w:t>
      </w:r>
      <w:r w:rsidRPr="00A83755">
        <w:rPr>
          <w:rFonts w:ascii="Arial" w:hAnsi="Arial" w:cs="Arial"/>
          <w:b/>
        </w:rPr>
        <w:t>A</w:t>
      </w:r>
      <w:r w:rsidRPr="00A83755">
        <w:rPr>
          <w:rFonts w:ascii="Arial" w:hAnsi="Arial" w:cs="Arial"/>
        </w:rPr>
        <w:t xml:space="preserve">) Schematic representation of yeast-two-hybrid assay performed with ERFVIIs and </w:t>
      </w:r>
      <w:r w:rsidRPr="00A83755">
        <w:rPr>
          <w:rFonts w:ascii="Arial" w:hAnsi="Arial" w:cs="Arial"/>
          <w:i/>
        </w:rPr>
        <w:t>At</w:t>
      </w:r>
      <w:r w:rsidRPr="00A83755">
        <w:rPr>
          <w:rFonts w:ascii="Arial" w:hAnsi="Arial" w:cs="Arial"/>
        </w:rPr>
        <w:t>MED subunits. (</w:t>
      </w:r>
      <w:r w:rsidRPr="00A83755">
        <w:rPr>
          <w:rFonts w:ascii="Arial" w:hAnsi="Arial" w:cs="Arial"/>
          <w:b/>
        </w:rPr>
        <w:t>B</w:t>
      </w:r>
      <w:r w:rsidRPr="00A83755">
        <w:rPr>
          <w:rFonts w:ascii="Arial" w:hAnsi="Arial" w:cs="Arial"/>
        </w:rPr>
        <w:t>) Growth of yeast colonies on selection medium (-LWH) lacking leucine (L), tryptophan (W), and histidine (H) with 65 mM 3-aminotriazole (3-AT) indicates interaction.</w:t>
      </w:r>
    </w:p>
    <w:p w:rsidR="008A7D2E" w:rsidRPr="00A83755" w:rsidRDefault="008A7D2E" w:rsidP="008A7D2E">
      <w:pPr>
        <w:rPr>
          <w:rFonts w:ascii="Arial" w:hAnsi="Arial" w:cs="Arial"/>
        </w:rPr>
      </w:pPr>
      <w:r w:rsidRPr="00A83755">
        <w:rPr>
          <w:rFonts w:ascii="Arial" w:hAnsi="Arial" w:cs="Arial"/>
        </w:rPr>
        <w:br w:type="page"/>
      </w:r>
    </w:p>
    <w:p w:rsidR="008A7D2E" w:rsidRPr="00A83755" w:rsidRDefault="008A7D2E" w:rsidP="008A7D2E">
      <w:pPr>
        <w:spacing w:line="360" w:lineRule="auto"/>
        <w:jc w:val="center"/>
        <w:rPr>
          <w:rFonts w:ascii="Arial" w:hAnsi="Arial" w:cs="Arial"/>
        </w:rPr>
      </w:pPr>
      <w:r w:rsidRPr="00A83755">
        <w:rPr>
          <w:rFonts w:ascii="Arial" w:hAnsi="Arial" w:cs="Arial"/>
          <w:noProof/>
          <w:lang w:val="en-IN" w:eastAsia="en-IN"/>
        </w:rPr>
        <w:lastRenderedPageBreak/>
        <w:drawing>
          <wp:inline distT="0" distB="0" distL="0" distR="0" wp14:anchorId="7BADD8A5" wp14:editId="575D2CBF">
            <wp:extent cx="5760720" cy="63226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S2med25NEWrevUpdate.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6322695"/>
                    </a:xfrm>
                    <a:prstGeom prst="rect">
                      <a:avLst/>
                    </a:prstGeom>
                  </pic:spPr>
                </pic:pic>
              </a:graphicData>
            </a:graphic>
          </wp:inline>
        </w:drawing>
      </w:r>
    </w:p>
    <w:p w:rsidR="008A7D2E" w:rsidRPr="00A83755" w:rsidRDefault="008A7D2E" w:rsidP="008A7D2E">
      <w:pPr>
        <w:spacing w:line="360" w:lineRule="auto"/>
        <w:jc w:val="both"/>
        <w:rPr>
          <w:rFonts w:ascii="Arial" w:hAnsi="Arial" w:cs="Arial"/>
          <w:b/>
          <w:highlight w:val="yellow"/>
        </w:rPr>
      </w:pPr>
      <w:r w:rsidRPr="00A83755">
        <w:rPr>
          <w:rFonts w:ascii="Arial" w:hAnsi="Arial" w:cs="Arial"/>
          <w:b/>
        </w:rPr>
        <w:t xml:space="preserve">Supporting Figure S2. </w:t>
      </w:r>
      <w:r w:rsidRPr="00A83755">
        <w:rPr>
          <w:rFonts w:ascii="Arial" w:hAnsi="Arial" w:cs="Arial"/>
        </w:rPr>
        <w:t xml:space="preserve">Multiple sequence alignment of the ERFVII-DNA binding domain and AlphaFold3 joint structure prediction for RAP2.12, </w:t>
      </w:r>
      <w:r w:rsidRPr="00A83755">
        <w:rPr>
          <w:rFonts w:ascii="Arial" w:hAnsi="Arial" w:cs="Arial"/>
          <w:i/>
        </w:rPr>
        <w:t>At</w:t>
      </w:r>
      <w:r w:rsidRPr="00A83755">
        <w:rPr>
          <w:rFonts w:ascii="Arial" w:hAnsi="Arial" w:cs="Arial"/>
        </w:rPr>
        <w:t>MED25 and target DNA. (Supports Figure 1)</w:t>
      </w:r>
    </w:p>
    <w:p w:rsidR="008A7D2E" w:rsidRPr="00A83755" w:rsidRDefault="008A7D2E" w:rsidP="008A7D2E">
      <w:pPr>
        <w:spacing w:line="360" w:lineRule="auto"/>
        <w:jc w:val="both"/>
        <w:rPr>
          <w:rFonts w:ascii="Arial" w:hAnsi="Arial" w:cs="Arial"/>
        </w:rPr>
      </w:pPr>
      <w:r w:rsidRPr="00A83755">
        <w:rPr>
          <w:rFonts w:ascii="Arial" w:hAnsi="Arial" w:cs="Arial"/>
        </w:rPr>
        <w:t>(</w:t>
      </w:r>
      <w:r w:rsidRPr="00A83755">
        <w:rPr>
          <w:rFonts w:ascii="Arial" w:hAnsi="Arial" w:cs="Arial"/>
          <w:b/>
        </w:rPr>
        <w:t>A</w:t>
      </w:r>
      <w:r w:rsidRPr="00A83755">
        <w:rPr>
          <w:rFonts w:ascii="Arial" w:hAnsi="Arial" w:cs="Arial"/>
        </w:rPr>
        <w:t xml:space="preserve">) Multiple sequence alignment of the ERFVII DNA binding domain and flanking sequences of the five Arabidopsis ERFVII family members, rice SUB1A and orthologous for RAP2.2 and RAP2.12 from </w:t>
      </w:r>
      <w:r w:rsidRPr="00A83755">
        <w:rPr>
          <w:rFonts w:ascii="Arial" w:hAnsi="Arial" w:cs="Arial"/>
          <w:i/>
        </w:rPr>
        <w:t>Brassica</w:t>
      </w:r>
      <w:r w:rsidRPr="00A83755">
        <w:rPr>
          <w:rFonts w:ascii="Arial" w:hAnsi="Arial" w:cs="Arial"/>
        </w:rPr>
        <w:t xml:space="preserve"> </w:t>
      </w:r>
      <w:r w:rsidRPr="00A83755">
        <w:rPr>
          <w:rFonts w:ascii="Arial" w:hAnsi="Arial" w:cs="Arial"/>
          <w:i/>
        </w:rPr>
        <w:t>rapa</w:t>
      </w:r>
      <w:r w:rsidRPr="00A83755">
        <w:rPr>
          <w:rFonts w:ascii="Arial" w:hAnsi="Arial" w:cs="Arial"/>
        </w:rPr>
        <w:t xml:space="preserve"> (XP_009106954; XP_009117071; XP_009135370; XP_009146390). The underlined blue domains, CMVII-3 and AP2 domain, are highly conserved and present in all selected ERFVII members, whereas the flanking sequences highlighted by a red box (I and II), represent sequence variation between the ERFVII members. Especially the sequence in box I is of interest, as it is only present in RAP2.2 and RAP2.12 </w:t>
      </w:r>
      <w:r w:rsidRPr="00A83755">
        <w:rPr>
          <w:rFonts w:ascii="Arial" w:hAnsi="Arial" w:cs="Arial"/>
        </w:rPr>
        <w:lastRenderedPageBreak/>
        <w:t xml:space="preserve">from </w:t>
      </w:r>
      <w:r w:rsidRPr="00A83755">
        <w:rPr>
          <w:rFonts w:ascii="Arial" w:hAnsi="Arial" w:cs="Arial"/>
          <w:i/>
        </w:rPr>
        <w:t>Arabidopsis</w:t>
      </w:r>
      <w:r w:rsidRPr="00A83755">
        <w:rPr>
          <w:rFonts w:ascii="Arial" w:hAnsi="Arial" w:cs="Arial"/>
        </w:rPr>
        <w:t xml:space="preserve"> and </w:t>
      </w:r>
      <w:r w:rsidRPr="00A83755">
        <w:rPr>
          <w:rFonts w:ascii="Arial" w:hAnsi="Arial" w:cs="Arial"/>
          <w:i/>
        </w:rPr>
        <w:t>Brassica rapa</w:t>
      </w:r>
      <w:r w:rsidRPr="00A83755">
        <w:rPr>
          <w:rFonts w:ascii="Arial" w:hAnsi="Arial" w:cs="Arial"/>
        </w:rPr>
        <w:t xml:space="preserve">, and SUB1A in rice, but not in Arabidopsis RAP2.3, HRE1 and HRE2 which do not interact with </w:t>
      </w:r>
      <w:r w:rsidRPr="00A83755">
        <w:rPr>
          <w:rFonts w:ascii="Arial" w:hAnsi="Arial" w:cs="Arial"/>
          <w:i/>
        </w:rPr>
        <w:t>At</w:t>
      </w:r>
      <w:r w:rsidRPr="00A83755">
        <w:rPr>
          <w:rFonts w:ascii="Arial" w:hAnsi="Arial" w:cs="Arial"/>
        </w:rPr>
        <w:t>MED25. (</w:t>
      </w:r>
      <w:r w:rsidRPr="00A83755">
        <w:rPr>
          <w:rFonts w:ascii="Arial" w:hAnsi="Arial" w:cs="Arial"/>
          <w:b/>
        </w:rPr>
        <w:t>B</w:t>
      </w:r>
      <w:r w:rsidRPr="00A83755">
        <w:rPr>
          <w:rFonts w:ascii="Arial" w:hAnsi="Arial" w:cs="Arial"/>
        </w:rPr>
        <w:t>) AlphaFold3 modelling of the joint structure of the RAP2.12-</w:t>
      </w:r>
      <w:r w:rsidRPr="00A83755">
        <w:rPr>
          <w:rFonts w:ascii="Arial" w:hAnsi="Arial" w:cs="Arial"/>
          <w:i/>
        </w:rPr>
        <w:t>At</w:t>
      </w:r>
      <w:r w:rsidRPr="00A83755">
        <w:rPr>
          <w:rFonts w:ascii="Arial" w:hAnsi="Arial" w:cs="Arial"/>
        </w:rPr>
        <w:t xml:space="preserve">MED25 complex on the HRPE motif. Modelling was done using the AlphaFold3 server (Abramson et al., 2024) using as input RAP2.12 (93-253), full-length </w:t>
      </w:r>
      <w:r w:rsidRPr="00A83755">
        <w:rPr>
          <w:rFonts w:ascii="Arial" w:hAnsi="Arial" w:cs="Arial"/>
          <w:i/>
        </w:rPr>
        <w:t>At</w:t>
      </w:r>
      <w:r w:rsidRPr="00A83755">
        <w:rPr>
          <w:rFonts w:ascii="Arial" w:hAnsi="Arial" w:cs="Arial"/>
        </w:rPr>
        <w:t xml:space="preserve">MED25, and a DNA sequence containing the HRPE motif of the </w:t>
      </w:r>
      <w:r w:rsidRPr="00A83755">
        <w:rPr>
          <w:rFonts w:ascii="Arial" w:hAnsi="Arial" w:cs="Arial"/>
          <w:i/>
        </w:rPr>
        <w:t>LBD41</w:t>
      </w:r>
      <w:r w:rsidRPr="00A83755">
        <w:rPr>
          <w:rFonts w:ascii="Arial" w:hAnsi="Arial" w:cs="Arial"/>
        </w:rPr>
        <w:t xml:space="preserve"> promoter. RAP2.12 is depicted in teal (dark shade cyan), while </w:t>
      </w:r>
      <w:r w:rsidRPr="00A83755">
        <w:rPr>
          <w:rFonts w:ascii="Arial" w:hAnsi="Arial" w:cs="Arial"/>
          <w:i/>
        </w:rPr>
        <w:t>At</w:t>
      </w:r>
      <w:r w:rsidRPr="00A83755">
        <w:rPr>
          <w:rFonts w:ascii="Arial" w:hAnsi="Arial" w:cs="Arial"/>
        </w:rPr>
        <w:t xml:space="preserve">MED25 is shown in lime (light green) except for the ACID domain, which is shown in light magenta. The target DNA containing the HRPE motif is presented in orange colour. For </w:t>
      </w:r>
      <w:r w:rsidRPr="00A83755">
        <w:rPr>
          <w:rFonts w:ascii="Arial" w:hAnsi="Arial" w:cs="Arial"/>
          <w:i/>
        </w:rPr>
        <w:t>At</w:t>
      </w:r>
      <w:r w:rsidRPr="00A83755">
        <w:rPr>
          <w:rFonts w:ascii="Arial" w:hAnsi="Arial" w:cs="Arial"/>
        </w:rPr>
        <w:t xml:space="preserve">MED25, the Q-rich domain, the Mediator complex-interacting domain and the ACID domain are labelled in the figure. In addition, the contact sites between the ACID domain of </w:t>
      </w:r>
      <w:r w:rsidRPr="00A83755">
        <w:rPr>
          <w:rFonts w:ascii="Arial" w:hAnsi="Arial" w:cs="Arial"/>
          <w:i/>
        </w:rPr>
        <w:t>At</w:t>
      </w:r>
      <w:r w:rsidRPr="00A83755">
        <w:rPr>
          <w:rFonts w:ascii="Arial" w:hAnsi="Arial" w:cs="Arial"/>
        </w:rPr>
        <w:t>MED25 and RAP2.12 are indicated by white arrowheads. Modelling the RAP2.2-</w:t>
      </w:r>
      <w:r w:rsidRPr="00A83755">
        <w:rPr>
          <w:rFonts w:ascii="Arial" w:hAnsi="Arial" w:cs="Arial"/>
          <w:i/>
        </w:rPr>
        <w:t>At</w:t>
      </w:r>
      <w:r w:rsidRPr="00A83755">
        <w:rPr>
          <w:rFonts w:ascii="Arial" w:hAnsi="Arial" w:cs="Arial"/>
        </w:rPr>
        <w:t xml:space="preserve">MED25 complex on the HRPE motif of </w:t>
      </w:r>
      <w:r w:rsidRPr="00A83755">
        <w:rPr>
          <w:rFonts w:ascii="Arial" w:hAnsi="Arial" w:cs="Arial"/>
          <w:i/>
        </w:rPr>
        <w:t>LBD41</w:t>
      </w:r>
      <w:r w:rsidRPr="00A83755">
        <w:rPr>
          <w:rFonts w:ascii="Arial" w:hAnsi="Arial" w:cs="Arial"/>
        </w:rPr>
        <w:t xml:space="preserve"> revealed a result similar to RAP2.12-specific complexes. Protein models were visualized using PyMol (Schrödinger, 2015).</w:t>
      </w:r>
    </w:p>
    <w:p w:rsidR="008A7D2E" w:rsidRPr="00A83755" w:rsidRDefault="008A7D2E" w:rsidP="008A7D2E">
      <w:pPr>
        <w:rPr>
          <w:rFonts w:ascii="Arial" w:hAnsi="Arial" w:cs="Arial"/>
          <w:highlight w:val="yellow"/>
        </w:rPr>
      </w:pPr>
      <w:r w:rsidRPr="00A83755">
        <w:rPr>
          <w:rFonts w:ascii="Arial" w:hAnsi="Arial" w:cs="Arial"/>
          <w:highlight w:val="yellow"/>
        </w:rPr>
        <w:br w:type="page"/>
      </w:r>
    </w:p>
    <w:p w:rsidR="008A7D2E" w:rsidRPr="00A83755" w:rsidRDefault="008A7D2E" w:rsidP="008A7D2E">
      <w:pPr>
        <w:spacing w:line="360" w:lineRule="auto"/>
        <w:jc w:val="center"/>
        <w:rPr>
          <w:rFonts w:ascii="Arial" w:hAnsi="Arial" w:cs="Arial"/>
        </w:rPr>
      </w:pPr>
      <w:r w:rsidRPr="00A83755">
        <w:rPr>
          <w:rFonts w:ascii="Arial" w:hAnsi="Arial" w:cs="Arial"/>
          <w:noProof/>
          <w:lang w:val="en-IN" w:eastAsia="en-IN"/>
        </w:rPr>
        <w:lastRenderedPageBreak/>
        <w:drawing>
          <wp:inline distT="0" distB="0" distL="0" distR="0" wp14:anchorId="2C8A9080" wp14:editId="5AD654AB">
            <wp:extent cx="3278742" cy="227076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_S3_Semiquant_RT-PCR_med25_KOs.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329581" cy="2305969"/>
                    </a:xfrm>
                    <a:prstGeom prst="rect">
                      <a:avLst/>
                    </a:prstGeom>
                  </pic:spPr>
                </pic:pic>
              </a:graphicData>
            </a:graphic>
          </wp:inline>
        </w:drawing>
      </w:r>
    </w:p>
    <w:p w:rsidR="008A7D2E" w:rsidRPr="00A83755" w:rsidRDefault="008A7D2E" w:rsidP="008A7D2E">
      <w:pPr>
        <w:spacing w:line="360" w:lineRule="auto"/>
        <w:jc w:val="both"/>
        <w:rPr>
          <w:rFonts w:ascii="Arial" w:hAnsi="Arial" w:cs="Arial"/>
        </w:rPr>
      </w:pPr>
    </w:p>
    <w:p w:rsidR="008A7D2E" w:rsidRPr="00A83755" w:rsidRDefault="008A7D2E" w:rsidP="008A7D2E">
      <w:pPr>
        <w:spacing w:line="360" w:lineRule="auto"/>
        <w:jc w:val="both"/>
        <w:rPr>
          <w:rFonts w:ascii="Arial" w:hAnsi="Arial" w:cs="Arial"/>
        </w:rPr>
      </w:pPr>
      <w:r w:rsidRPr="00A83755">
        <w:rPr>
          <w:rFonts w:ascii="Arial" w:hAnsi="Arial" w:cs="Arial"/>
          <w:b/>
        </w:rPr>
        <w:t>Supporting Figure S3.</w:t>
      </w:r>
      <w:r w:rsidRPr="00A83755">
        <w:rPr>
          <w:rFonts w:ascii="Arial" w:hAnsi="Arial" w:cs="Arial"/>
        </w:rPr>
        <w:t xml:space="preserve"> Semi-quantitative RT-PCR analysis of </w:t>
      </w:r>
      <w:r w:rsidRPr="00A83755">
        <w:rPr>
          <w:rFonts w:ascii="Arial" w:hAnsi="Arial" w:cs="Arial"/>
          <w:i/>
        </w:rPr>
        <w:t>AtMED25</w:t>
      </w:r>
      <w:r w:rsidRPr="00A83755">
        <w:rPr>
          <w:rFonts w:ascii="Arial" w:hAnsi="Arial" w:cs="Arial"/>
        </w:rPr>
        <w:t xml:space="preserve"> transcript levels in the T-DNA insertion lines </w:t>
      </w:r>
      <w:r w:rsidRPr="00A83755">
        <w:rPr>
          <w:rFonts w:ascii="Arial" w:hAnsi="Arial" w:cs="Arial"/>
          <w:i/>
        </w:rPr>
        <w:t>med25-1</w:t>
      </w:r>
      <w:r w:rsidRPr="00A83755">
        <w:rPr>
          <w:rFonts w:ascii="Arial" w:hAnsi="Arial" w:cs="Arial"/>
        </w:rPr>
        <w:t xml:space="preserve"> and </w:t>
      </w:r>
      <w:r w:rsidRPr="00A83755">
        <w:rPr>
          <w:rFonts w:ascii="Arial" w:hAnsi="Arial" w:cs="Arial"/>
          <w:i/>
        </w:rPr>
        <w:t>med25-2</w:t>
      </w:r>
      <w:r w:rsidRPr="00A83755">
        <w:rPr>
          <w:rFonts w:ascii="Arial" w:hAnsi="Arial" w:cs="Arial"/>
        </w:rPr>
        <w:t xml:space="preserve">. Used primer sequences can be found in Table S1. In both T-DNA lines, no full-length </w:t>
      </w:r>
      <w:r w:rsidRPr="00A83755">
        <w:rPr>
          <w:rFonts w:ascii="Arial" w:hAnsi="Arial" w:cs="Arial"/>
          <w:i/>
        </w:rPr>
        <w:t>AtMED25</w:t>
      </w:r>
      <w:r w:rsidRPr="00A83755">
        <w:rPr>
          <w:rFonts w:ascii="Arial" w:hAnsi="Arial" w:cs="Arial"/>
        </w:rPr>
        <w:t xml:space="preserve"> transcript was detected. Band sizes of the ladder (left) are given in kb.</w:t>
      </w:r>
    </w:p>
    <w:p w:rsidR="008A7D2E" w:rsidRPr="00A83755" w:rsidRDefault="008A7D2E" w:rsidP="008A7D2E">
      <w:pPr>
        <w:rPr>
          <w:rFonts w:ascii="Arial" w:hAnsi="Arial" w:cs="Arial"/>
        </w:rPr>
      </w:pPr>
      <w:r w:rsidRPr="00A83755">
        <w:rPr>
          <w:rFonts w:ascii="Arial" w:hAnsi="Arial" w:cs="Arial"/>
        </w:rPr>
        <w:br w:type="page"/>
      </w:r>
    </w:p>
    <w:p w:rsidR="008A7D2E" w:rsidRPr="00A83755" w:rsidRDefault="008A7D2E" w:rsidP="008A7D2E">
      <w:pPr>
        <w:spacing w:line="360" w:lineRule="auto"/>
        <w:jc w:val="center"/>
        <w:rPr>
          <w:rFonts w:ascii="Arial" w:hAnsi="Arial" w:cs="Arial"/>
        </w:rPr>
      </w:pPr>
      <w:r w:rsidRPr="00A83755">
        <w:rPr>
          <w:rFonts w:ascii="Arial" w:hAnsi="Arial" w:cs="Arial"/>
          <w:b/>
          <w:noProof/>
          <w:lang w:val="en-IN" w:eastAsia="en-IN"/>
        </w:rPr>
        <w:lastRenderedPageBreak/>
        <w:drawing>
          <wp:inline distT="0" distB="0" distL="0" distR="0" wp14:anchorId="6B7AF99D" wp14:editId="67C6DF8A">
            <wp:extent cx="4454734" cy="2514600"/>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86796" cy="2532698"/>
                    </a:xfrm>
                    <a:prstGeom prst="rect">
                      <a:avLst/>
                    </a:prstGeom>
                    <a:noFill/>
                  </pic:spPr>
                </pic:pic>
              </a:graphicData>
            </a:graphic>
          </wp:inline>
        </w:drawing>
      </w:r>
    </w:p>
    <w:p w:rsidR="008A7D2E" w:rsidRPr="00A83755" w:rsidRDefault="008A7D2E" w:rsidP="008A7D2E">
      <w:pPr>
        <w:spacing w:line="360" w:lineRule="auto"/>
        <w:jc w:val="both"/>
        <w:rPr>
          <w:rFonts w:ascii="Arial" w:hAnsi="Arial" w:cs="Arial"/>
        </w:rPr>
      </w:pPr>
      <w:r w:rsidRPr="00A83755">
        <w:rPr>
          <w:rFonts w:ascii="Arial" w:hAnsi="Arial" w:cs="Arial"/>
          <w:b/>
        </w:rPr>
        <w:t xml:space="preserve">Supporting Figure S4. </w:t>
      </w:r>
      <w:r w:rsidRPr="00A83755">
        <w:rPr>
          <w:rFonts w:ascii="Arial" w:hAnsi="Arial" w:cs="Arial"/>
        </w:rPr>
        <w:t>Plot of</w:t>
      </w:r>
      <w:r w:rsidRPr="00A83755">
        <w:rPr>
          <w:rFonts w:ascii="Arial" w:hAnsi="Arial" w:cs="Arial"/>
          <w:b/>
        </w:rPr>
        <w:t xml:space="preserve"> </w:t>
      </w:r>
      <w:r w:rsidRPr="00A83755">
        <w:rPr>
          <w:rFonts w:ascii="Arial" w:hAnsi="Arial" w:cs="Arial"/>
        </w:rPr>
        <w:t xml:space="preserve">RNA-Seq data for selected hypoxia core genes in hypoxia-treated </w:t>
      </w:r>
      <w:r w:rsidRPr="00A83755">
        <w:rPr>
          <w:rFonts w:ascii="Arial" w:hAnsi="Arial" w:cs="Arial"/>
          <w:i/>
        </w:rPr>
        <w:t>med25-1</w:t>
      </w:r>
      <w:r w:rsidRPr="00A83755">
        <w:rPr>
          <w:rFonts w:ascii="Arial" w:hAnsi="Arial" w:cs="Arial"/>
        </w:rPr>
        <w:t xml:space="preserve"> and wildtype. (Supports Figure 2).</w:t>
      </w:r>
    </w:p>
    <w:p w:rsidR="008A7D2E" w:rsidRPr="00A83755" w:rsidRDefault="008A7D2E" w:rsidP="008A7D2E">
      <w:pPr>
        <w:rPr>
          <w:rFonts w:ascii="Arial" w:hAnsi="Arial" w:cs="Arial"/>
          <w:b/>
        </w:rPr>
      </w:pPr>
      <w:r w:rsidRPr="00A83755">
        <w:rPr>
          <w:rFonts w:ascii="Arial" w:hAnsi="Arial" w:cs="Arial"/>
        </w:rPr>
        <w:t>Plotted are the log2FC (FC, fold change) values for selected hypoxia core genes as reported in Supplemental Dataset 1. The error bars indicate the standard error (SE). n = 3.</w:t>
      </w: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rPr>
          <w:rFonts w:ascii="Arial" w:hAnsi="Arial" w:cs="Arial"/>
          <w:b/>
        </w:rPr>
      </w:pPr>
    </w:p>
    <w:p w:rsidR="008A7D2E" w:rsidRPr="00A83755" w:rsidRDefault="008A7D2E" w:rsidP="008A7D2E">
      <w:pPr>
        <w:jc w:val="center"/>
      </w:pPr>
      <w:r w:rsidRPr="00A83755">
        <w:rPr>
          <w:noProof/>
          <w:lang w:val="en-IN" w:eastAsia="en-IN"/>
        </w:rPr>
        <w:lastRenderedPageBreak/>
        <w:drawing>
          <wp:inline distT="0" distB="0" distL="0" distR="0" wp14:anchorId="537A935D" wp14:editId="207435A6">
            <wp:extent cx="4587240" cy="2074230"/>
            <wp:effectExtent l="0" t="0" r="381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pplementary_Figure_3_RNAPII_Primers.jpg"/>
                    <pic:cNvPicPr/>
                  </pic:nvPicPr>
                  <pic:blipFill>
                    <a:blip r:embed="rId8">
                      <a:extLst>
                        <a:ext uri="{28A0092B-C50C-407E-A947-70E740481C1C}">
                          <a14:useLocalDpi xmlns:a14="http://schemas.microsoft.com/office/drawing/2010/main" val="0"/>
                        </a:ext>
                      </a:extLst>
                    </a:blip>
                    <a:stretch>
                      <a:fillRect/>
                    </a:stretch>
                  </pic:blipFill>
                  <pic:spPr>
                    <a:xfrm>
                      <a:off x="0" y="0"/>
                      <a:ext cx="4608394" cy="2083795"/>
                    </a:xfrm>
                    <a:prstGeom prst="rect">
                      <a:avLst/>
                    </a:prstGeom>
                  </pic:spPr>
                </pic:pic>
              </a:graphicData>
            </a:graphic>
          </wp:inline>
        </w:drawing>
      </w:r>
    </w:p>
    <w:p w:rsidR="008A7D2E" w:rsidRPr="00A83755" w:rsidRDefault="008A7D2E" w:rsidP="008A7D2E">
      <w:pPr>
        <w:jc w:val="center"/>
      </w:pPr>
    </w:p>
    <w:p w:rsidR="008A7D2E" w:rsidRPr="00A83755" w:rsidRDefault="008A7D2E" w:rsidP="008A7D2E">
      <w:pPr>
        <w:spacing w:line="360" w:lineRule="auto"/>
        <w:jc w:val="both"/>
        <w:rPr>
          <w:rFonts w:ascii="Arial" w:hAnsi="Arial" w:cs="Arial"/>
        </w:rPr>
      </w:pPr>
      <w:r w:rsidRPr="00A83755">
        <w:rPr>
          <w:rFonts w:ascii="Arial" w:hAnsi="Arial" w:cs="Arial"/>
          <w:b/>
        </w:rPr>
        <w:t xml:space="preserve">Supporting Figure S5. </w:t>
      </w:r>
      <w:r w:rsidRPr="00A83755">
        <w:rPr>
          <w:rFonts w:ascii="Arial" w:hAnsi="Arial" w:cs="Arial"/>
        </w:rPr>
        <w:t>Position of primer pairs used in RNA Pol II ChIP assay. (Supports Figure 3).</w:t>
      </w:r>
    </w:p>
    <w:p w:rsidR="008A7D2E" w:rsidRPr="00A83755" w:rsidRDefault="008A7D2E" w:rsidP="008A7D2E">
      <w:pPr>
        <w:spacing w:line="360" w:lineRule="auto"/>
        <w:jc w:val="both"/>
        <w:rPr>
          <w:rFonts w:ascii="Arial" w:hAnsi="Arial" w:cs="Arial"/>
        </w:rPr>
      </w:pPr>
      <w:r w:rsidRPr="00A83755">
        <w:rPr>
          <w:rFonts w:ascii="Arial" w:hAnsi="Arial" w:cs="Arial"/>
        </w:rPr>
        <w:t>Overview of primer pair locations along two hypoxia-responsive genes. Dark blue boxes indicate the exons of the genes, while light blue boxes represent the UTRs. Thin black lines above show the regions amplified by the primers in each ChIP reaction.</w:t>
      </w:r>
    </w:p>
    <w:p w:rsidR="008A7D2E" w:rsidRPr="00A83755" w:rsidRDefault="008A7D2E" w:rsidP="008A7D2E">
      <w:pPr>
        <w:rPr>
          <w:rFonts w:ascii="Arial" w:hAnsi="Arial" w:cs="Arial"/>
        </w:rPr>
      </w:pPr>
    </w:p>
    <w:p w:rsidR="008A7D2E" w:rsidRPr="00A83755" w:rsidRDefault="008A7D2E" w:rsidP="008A7D2E"/>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 w:rsidR="008A7D2E" w:rsidRPr="00A83755" w:rsidRDefault="008A7D2E" w:rsidP="008A7D2E">
      <w:pPr>
        <w:jc w:val="center"/>
      </w:pPr>
      <w:r w:rsidRPr="00A83755">
        <w:rPr>
          <w:noProof/>
          <w:lang w:val="en-IN" w:eastAsia="en-IN"/>
        </w:rPr>
        <w:lastRenderedPageBreak/>
        <w:drawing>
          <wp:inline distT="0" distB="0" distL="0" distR="0" wp14:anchorId="253AD322" wp14:editId="5CC2912C">
            <wp:extent cx="3992880" cy="3296591"/>
            <wp:effectExtent l="0" t="0" r="762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lementary_Figure_4_Y2H_Med25_vs_all_Med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01132" cy="3303404"/>
                    </a:xfrm>
                    <a:prstGeom prst="rect">
                      <a:avLst/>
                    </a:prstGeom>
                  </pic:spPr>
                </pic:pic>
              </a:graphicData>
            </a:graphic>
          </wp:inline>
        </w:drawing>
      </w: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spacing w:line="360" w:lineRule="auto"/>
        <w:jc w:val="both"/>
        <w:rPr>
          <w:rFonts w:ascii="Arial" w:hAnsi="Arial" w:cs="Arial"/>
        </w:rPr>
      </w:pPr>
      <w:r w:rsidRPr="00A83755">
        <w:rPr>
          <w:rFonts w:ascii="Arial" w:hAnsi="Arial" w:cs="Arial"/>
          <w:b/>
        </w:rPr>
        <w:t xml:space="preserve">Supporting Figure S6. </w:t>
      </w:r>
      <w:r w:rsidRPr="00A83755">
        <w:rPr>
          <w:rFonts w:ascii="Arial" w:hAnsi="Arial" w:cs="Arial"/>
        </w:rPr>
        <w:t xml:space="preserve">Yeast-two-hybrid assays for testing interaction between Mediator complex </w:t>
      </w:r>
      <w:r w:rsidRPr="00A83755">
        <w:rPr>
          <w:rFonts w:ascii="Arial" w:hAnsi="Arial" w:cs="Arial"/>
          <w:i/>
        </w:rPr>
        <w:t>At</w:t>
      </w:r>
      <w:r w:rsidRPr="00A83755">
        <w:rPr>
          <w:rFonts w:ascii="Arial" w:hAnsi="Arial" w:cs="Arial"/>
        </w:rPr>
        <w:t>MED25 with other Mediator subunits from Arabidopsis. (Supports Figure 5)</w:t>
      </w:r>
    </w:p>
    <w:p w:rsidR="008A7D2E" w:rsidRPr="00A83755" w:rsidRDefault="008A7D2E" w:rsidP="008A7D2E">
      <w:pPr>
        <w:spacing w:line="360" w:lineRule="auto"/>
        <w:jc w:val="both"/>
        <w:rPr>
          <w:rFonts w:ascii="Arial" w:hAnsi="Arial" w:cs="Arial"/>
        </w:rPr>
      </w:pPr>
      <w:r w:rsidRPr="00A83755">
        <w:rPr>
          <w:rFonts w:ascii="Arial" w:hAnsi="Arial" w:cs="Arial"/>
        </w:rPr>
        <w:t>Growth of yeast colonies on selection medium (-LWH) lacking leucine (L), tryptophan (W), and histidine (H) with 65 mM 3-aminotriazole (3-AT) indicates interaction.</w:t>
      </w:r>
    </w:p>
    <w:p w:rsidR="008A7D2E" w:rsidRPr="00A83755" w:rsidRDefault="008A7D2E" w:rsidP="008A7D2E">
      <w:pPr>
        <w:rPr>
          <w:rFonts w:ascii="Arial" w:hAnsi="Arial" w:cs="Arial"/>
          <w:b/>
        </w:rP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p>
    <w:p w:rsidR="008A7D2E" w:rsidRPr="00A83755" w:rsidRDefault="008A7D2E" w:rsidP="008A7D2E">
      <w:pPr>
        <w:jc w:val="center"/>
      </w:pPr>
      <w:r w:rsidRPr="00A83755">
        <w:rPr>
          <w:noProof/>
          <w:lang w:val="en-IN" w:eastAsia="en-IN"/>
        </w:rPr>
        <w:lastRenderedPageBreak/>
        <w:drawing>
          <wp:inline distT="0" distB="0" distL="0" distR="0" wp14:anchorId="2F482C50" wp14:editId="7ED8BF0B">
            <wp:extent cx="5055575" cy="5815990"/>
            <wp:effectExtent l="0" t="0" r="0" b="0"/>
            <wp:docPr id="17" name="Picture 5"/>
            <wp:cNvGraphicFramePr/>
            <a:graphic xmlns:a="http://schemas.openxmlformats.org/drawingml/2006/main">
              <a:graphicData uri="http://schemas.openxmlformats.org/drawingml/2006/picture">
                <pic:pic xmlns:pic="http://schemas.openxmlformats.org/drawingml/2006/picture">
                  <pic:nvPicPr>
                    <pic:cNvPr id="4" name="Picture 5"/>
                    <pic:cNvPicPr/>
                  </pic:nvPicPr>
                  <pic:blipFill rotWithShape="1">
                    <a:blip r:embed="rId10" cstate="print">
                      <a:extLst>
                        <a:ext uri="{28A0092B-C50C-407E-A947-70E740481C1C}">
                          <a14:useLocalDpi xmlns:a14="http://schemas.microsoft.com/office/drawing/2010/main" val="0"/>
                        </a:ext>
                      </a:extLst>
                    </a:blip>
                    <a:srcRect l="7060" t="28640" r="5179"/>
                    <a:stretch/>
                  </pic:blipFill>
                  <pic:spPr bwMode="auto">
                    <a:xfrm>
                      <a:off x="0" y="0"/>
                      <a:ext cx="5055575" cy="5815990"/>
                    </a:xfrm>
                    <a:prstGeom prst="rect">
                      <a:avLst/>
                    </a:prstGeom>
                    <a:noFill/>
                    <a:ln>
                      <a:noFill/>
                    </a:ln>
                  </pic:spPr>
                </pic:pic>
              </a:graphicData>
            </a:graphic>
          </wp:inline>
        </w:drawing>
      </w:r>
    </w:p>
    <w:p w:rsidR="008A7D2E" w:rsidRPr="00A83755" w:rsidRDefault="008A7D2E" w:rsidP="008A7D2E">
      <w:pPr>
        <w:pStyle w:val="xmsonormal"/>
        <w:spacing w:line="360" w:lineRule="auto"/>
        <w:jc w:val="both"/>
        <w:rPr>
          <w:rFonts w:ascii="Arial" w:hAnsi="Arial" w:cs="Arial"/>
          <w:sz w:val="22"/>
          <w:lang w:val="en-GB"/>
        </w:rPr>
      </w:pPr>
      <w:r w:rsidRPr="00A83755">
        <w:rPr>
          <w:rFonts w:ascii="Arial" w:hAnsi="Arial" w:cs="Arial"/>
          <w:b/>
          <w:bCs/>
          <w:sz w:val="22"/>
          <w:lang w:val="en-GB"/>
        </w:rPr>
        <w:t xml:space="preserve">Supporting Figure S7. Identified potential interaction partners of </w:t>
      </w:r>
      <w:r w:rsidRPr="00A83755">
        <w:rPr>
          <w:rFonts w:ascii="Arial" w:hAnsi="Arial" w:cs="Arial"/>
          <w:b/>
          <w:bCs/>
          <w:i/>
          <w:iCs/>
          <w:sz w:val="22"/>
          <w:lang w:val="en-GB"/>
        </w:rPr>
        <w:t>At</w:t>
      </w:r>
      <w:r w:rsidRPr="00A83755">
        <w:rPr>
          <w:rFonts w:ascii="Arial" w:hAnsi="Arial" w:cs="Arial"/>
          <w:b/>
          <w:bCs/>
          <w:sz w:val="22"/>
          <w:lang w:val="en-GB"/>
        </w:rPr>
        <w:t xml:space="preserve">MED25 under normoxic and hypoxic conditions. </w:t>
      </w:r>
      <w:r w:rsidRPr="00A83755">
        <w:rPr>
          <w:rFonts w:ascii="Arial" w:hAnsi="Arial" w:cs="Arial"/>
          <w:sz w:val="22"/>
          <w:lang w:val="en-GB"/>
        </w:rPr>
        <w:t xml:space="preserve">Immunopurification of </w:t>
      </w:r>
      <w:r w:rsidRPr="00A83755">
        <w:rPr>
          <w:rFonts w:ascii="Arial" w:hAnsi="Arial" w:cs="Arial"/>
          <w:i/>
          <w:sz w:val="22"/>
          <w:lang w:val="en-GB"/>
        </w:rPr>
        <w:t>At</w:t>
      </w:r>
      <w:r w:rsidRPr="00A83755">
        <w:rPr>
          <w:rFonts w:ascii="Arial" w:hAnsi="Arial" w:cs="Arial"/>
          <w:sz w:val="22"/>
          <w:lang w:val="en-GB"/>
        </w:rPr>
        <w:t xml:space="preserve">MED25-GFP followed by mass-spectrometry (IP-MS) revealed an enrichment of common and specific proteins under normoxic and hypoxic conditions as presented in Supporting DataSet S3. All data is based on three biological replicates and statistically significant enriched proteins are presented. The </w:t>
      </w:r>
      <w:r w:rsidRPr="00A83755">
        <w:rPr>
          <w:rFonts w:ascii="Arial" w:hAnsi="Arial" w:cs="Arial"/>
          <w:i/>
          <w:iCs/>
          <w:sz w:val="22"/>
          <w:lang w:val="en-GB"/>
        </w:rPr>
        <w:t>At</w:t>
      </w:r>
      <w:r w:rsidRPr="00A83755">
        <w:rPr>
          <w:rFonts w:ascii="Arial" w:hAnsi="Arial" w:cs="Arial"/>
          <w:sz w:val="22"/>
          <w:lang w:val="en-GB"/>
        </w:rPr>
        <w:t>MED25 interaction network was constructed with the Cytoscape software (Shannon et. al, 2003). Dark pink indicates Mediator subunits, light pink indicates proteins present in the nucleus/cytosol, blue-coloured proteins have other cellular localisations.</w:t>
      </w:r>
    </w:p>
    <w:p w:rsidR="008A7D2E" w:rsidRPr="00A83755" w:rsidRDefault="008A7D2E" w:rsidP="008A7D2E">
      <w:pPr>
        <w:jc w:val="center"/>
        <w:rPr>
          <w:rFonts w:ascii="Arial" w:hAnsi="Arial" w:cs="Arial"/>
          <w:szCs w:val="24"/>
        </w:rPr>
      </w:pPr>
    </w:p>
    <w:p w:rsidR="008A7D2E" w:rsidRPr="00A83755" w:rsidRDefault="008A7D2E" w:rsidP="008A7D2E">
      <w:pPr>
        <w:jc w:val="center"/>
      </w:pPr>
    </w:p>
    <w:p w:rsidR="008A7D2E" w:rsidRPr="00A83755" w:rsidRDefault="008A7D2E" w:rsidP="008A7D2E">
      <w:pPr>
        <w:jc w:val="center"/>
      </w:pPr>
      <w:r w:rsidRPr="00A83755">
        <w:rPr>
          <w:noProof/>
          <w:lang w:val="en-IN" w:eastAsia="en-IN"/>
        </w:rPr>
        <w:lastRenderedPageBreak/>
        <w:drawing>
          <wp:inline distT="0" distB="0" distL="0" distR="0" wp14:anchorId="5C25FBDC" wp14:editId="383C124B">
            <wp:extent cx="5760720" cy="322389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pplementary_Figure_5_MED25_crop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223895"/>
                    </a:xfrm>
                    <a:prstGeom prst="rect">
                      <a:avLst/>
                    </a:prstGeom>
                  </pic:spPr>
                </pic:pic>
              </a:graphicData>
            </a:graphic>
          </wp:inline>
        </w:drawing>
      </w:r>
    </w:p>
    <w:p w:rsidR="008A7D2E" w:rsidRPr="00A83755" w:rsidRDefault="008A7D2E" w:rsidP="008A7D2E">
      <w:pPr>
        <w:jc w:val="center"/>
      </w:pPr>
    </w:p>
    <w:p w:rsidR="008A7D2E" w:rsidRPr="00A83755" w:rsidRDefault="008A7D2E" w:rsidP="008A7D2E">
      <w:pPr>
        <w:spacing w:line="360" w:lineRule="auto"/>
        <w:jc w:val="both"/>
        <w:rPr>
          <w:rFonts w:ascii="Arial" w:hAnsi="Arial" w:cs="Arial"/>
        </w:rPr>
      </w:pPr>
      <w:r w:rsidRPr="00A83755">
        <w:rPr>
          <w:rFonts w:ascii="Arial" w:hAnsi="Arial" w:cs="Arial"/>
          <w:b/>
        </w:rPr>
        <w:t xml:space="preserve">Supporting Figure S8. </w:t>
      </w:r>
      <w:r w:rsidRPr="00A83755">
        <w:rPr>
          <w:rFonts w:ascii="Arial" w:hAnsi="Arial" w:cs="Arial"/>
        </w:rPr>
        <w:t>Multiple sequence alignment of MED25 proteins from different plant species. (Supports Figure 6)</w:t>
      </w:r>
    </w:p>
    <w:p w:rsidR="008A7D2E" w:rsidRPr="00A83755" w:rsidRDefault="008A7D2E" w:rsidP="008A7D2E">
      <w:pPr>
        <w:spacing w:line="360" w:lineRule="auto"/>
        <w:jc w:val="both"/>
        <w:rPr>
          <w:rFonts w:ascii="Arial" w:hAnsi="Arial" w:cs="Arial"/>
        </w:rPr>
      </w:pPr>
      <w:r w:rsidRPr="00A83755">
        <w:rPr>
          <w:rFonts w:ascii="Arial" w:hAnsi="Arial" w:cs="Arial"/>
        </w:rPr>
        <w:t xml:space="preserve"> (</w:t>
      </w:r>
      <w:r w:rsidRPr="00A83755">
        <w:rPr>
          <w:rFonts w:ascii="Arial" w:hAnsi="Arial" w:cs="Arial"/>
          <w:b/>
        </w:rPr>
        <w:t>A</w:t>
      </w:r>
      <w:r w:rsidRPr="00A83755">
        <w:rPr>
          <w:rFonts w:ascii="Arial" w:hAnsi="Arial" w:cs="Arial"/>
        </w:rPr>
        <w:t xml:space="preserve">) Phylogenetic tree of </w:t>
      </w:r>
      <w:r w:rsidRPr="00A83755">
        <w:rPr>
          <w:rFonts w:ascii="Arial" w:hAnsi="Arial" w:cs="Arial"/>
          <w:i/>
        </w:rPr>
        <w:t>At</w:t>
      </w:r>
      <w:r w:rsidRPr="00A83755">
        <w:rPr>
          <w:rFonts w:ascii="Arial" w:hAnsi="Arial" w:cs="Arial"/>
        </w:rPr>
        <w:t>MED25 and its homologous proteins from selected species. Dendrogram obtained using neighbour-joining analysis. (</w:t>
      </w:r>
      <w:r w:rsidRPr="00A83755">
        <w:rPr>
          <w:rFonts w:ascii="Arial" w:hAnsi="Arial" w:cs="Arial"/>
          <w:b/>
        </w:rPr>
        <w:t>B</w:t>
      </w:r>
      <w:r w:rsidRPr="00A83755">
        <w:rPr>
          <w:rFonts w:ascii="Arial" w:hAnsi="Arial" w:cs="Arial"/>
        </w:rPr>
        <w:t xml:space="preserve">) Schematic representation of the sequence alignment of </w:t>
      </w:r>
      <w:r w:rsidRPr="00A83755">
        <w:rPr>
          <w:rFonts w:ascii="Arial" w:hAnsi="Arial" w:cs="Arial"/>
          <w:i/>
        </w:rPr>
        <w:t>At</w:t>
      </w:r>
      <w:r w:rsidRPr="00A83755">
        <w:rPr>
          <w:rFonts w:ascii="Arial" w:hAnsi="Arial" w:cs="Arial"/>
        </w:rPr>
        <w:t>MED25 and homologous proteins. Black boxes indicate conserved residues and the red underlined domain represents the activator-interacting domain (ACID). (</w:t>
      </w:r>
      <w:r w:rsidRPr="00A83755">
        <w:rPr>
          <w:rFonts w:ascii="Arial" w:hAnsi="Arial" w:cs="Arial"/>
          <w:b/>
        </w:rPr>
        <w:t>C</w:t>
      </w:r>
      <w:r w:rsidRPr="00A83755">
        <w:rPr>
          <w:rFonts w:ascii="Arial" w:hAnsi="Arial" w:cs="Arial"/>
        </w:rPr>
        <w:t xml:space="preserve">) Multiple sequence alignment indicates a strong conservation of the ACID of MED25 from </w:t>
      </w:r>
      <w:r w:rsidRPr="00A83755">
        <w:rPr>
          <w:rFonts w:ascii="Arial" w:hAnsi="Arial" w:cs="Arial"/>
          <w:i/>
        </w:rPr>
        <w:t>Brachypodium distachyon</w:t>
      </w:r>
      <w:r w:rsidRPr="00A83755">
        <w:rPr>
          <w:rFonts w:ascii="Arial" w:hAnsi="Arial" w:cs="Arial"/>
        </w:rPr>
        <w:t xml:space="preserve"> (</w:t>
      </w:r>
      <w:r w:rsidRPr="00A83755">
        <w:rPr>
          <w:rFonts w:ascii="Arial" w:hAnsi="Arial" w:cs="Arial"/>
          <w:i/>
        </w:rPr>
        <w:t>Bd</w:t>
      </w:r>
      <w:r w:rsidRPr="00A83755">
        <w:rPr>
          <w:rFonts w:ascii="Arial" w:hAnsi="Arial" w:cs="Arial"/>
        </w:rPr>
        <w:t xml:space="preserve">), </w:t>
      </w:r>
      <w:r w:rsidRPr="00A83755">
        <w:rPr>
          <w:rFonts w:ascii="Arial" w:hAnsi="Arial" w:cs="Arial"/>
          <w:i/>
        </w:rPr>
        <w:t>Triticum aestivum</w:t>
      </w:r>
      <w:r w:rsidRPr="00A83755">
        <w:rPr>
          <w:rFonts w:ascii="Arial" w:hAnsi="Arial" w:cs="Arial"/>
        </w:rPr>
        <w:t xml:space="preserve"> (</w:t>
      </w:r>
      <w:r w:rsidRPr="00A83755">
        <w:rPr>
          <w:rFonts w:ascii="Arial" w:hAnsi="Arial" w:cs="Arial"/>
          <w:i/>
        </w:rPr>
        <w:t>Ta</w:t>
      </w:r>
      <w:r w:rsidRPr="00A83755">
        <w:rPr>
          <w:rFonts w:ascii="Arial" w:hAnsi="Arial" w:cs="Arial"/>
        </w:rPr>
        <w:t xml:space="preserve">), </w:t>
      </w:r>
      <w:r w:rsidRPr="00A83755">
        <w:rPr>
          <w:rFonts w:ascii="Arial" w:hAnsi="Arial" w:cs="Arial"/>
          <w:i/>
        </w:rPr>
        <w:t>Sorghum bicolor</w:t>
      </w:r>
      <w:r w:rsidRPr="00A83755">
        <w:rPr>
          <w:rFonts w:ascii="Arial" w:hAnsi="Arial" w:cs="Arial"/>
        </w:rPr>
        <w:t xml:space="preserve"> (</w:t>
      </w:r>
      <w:r w:rsidRPr="00A83755">
        <w:rPr>
          <w:rFonts w:ascii="Arial" w:hAnsi="Arial" w:cs="Arial"/>
          <w:i/>
        </w:rPr>
        <w:t>Sb</w:t>
      </w:r>
      <w:r w:rsidRPr="00A83755">
        <w:rPr>
          <w:rFonts w:ascii="Arial" w:hAnsi="Arial" w:cs="Arial"/>
        </w:rPr>
        <w:t xml:space="preserve">), </w:t>
      </w:r>
      <w:r w:rsidRPr="00A83755">
        <w:rPr>
          <w:rFonts w:ascii="Arial" w:hAnsi="Arial" w:cs="Arial"/>
          <w:i/>
        </w:rPr>
        <w:t>Oryza sativa</w:t>
      </w:r>
      <w:r w:rsidRPr="00A83755">
        <w:rPr>
          <w:rFonts w:ascii="Arial" w:hAnsi="Arial" w:cs="Arial"/>
        </w:rPr>
        <w:t xml:space="preserve"> (</w:t>
      </w:r>
      <w:r w:rsidRPr="00A83755">
        <w:rPr>
          <w:rFonts w:ascii="Arial" w:hAnsi="Arial" w:cs="Arial"/>
          <w:i/>
        </w:rPr>
        <w:t>Os</w:t>
      </w:r>
      <w:r w:rsidRPr="00A83755">
        <w:rPr>
          <w:rFonts w:ascii="Arial" w:hAnsi="Arial" w:cs="Arial"/>
        </w:rPr>
        <w:t xml:space="preserve">) and </w:t>
      </w:r>
      <w:r w:rsidRPr="00A83755">
        <w:rPr>
          <w:rFonts w:ascii="Arial" w:hAnsi="Arial" w:cs="Arial"/>
          <w:i/>
        </w:rPr>
        <w:t>Arabidopsis thaliana</w:t>
      </w:r>
      <w:r w:rsidRPr="00A83755">
        <w:rPr>
          <w:rFonts w:ascii="Arial" w:hAnsi="Arial" w:cs="Arial"/>
        </w:rPr>
        <w:t xml:space="preserve"> (</w:t>
      </w:r>
      <w:r w:rsidRPr="00A83755">
        <w:rPr>
          <w:rFonts w:ascii="Arial" w:hAnsi="Arial" w:cs="Arial"/>
          <w:i/>
        </w:rPr>
        <w:t>At</w:t>
      </w:r>
      <w:r w:rsidRPr="00A83755">
        <w:rPr>
          <w:rFonts w:ascii="Arial" w:hAnsi="Arial" w:cs="Arial"/>
        </w:rPr>
        <w:t>).</w:t>
      </w: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r w:rsidRPr="00A83755">
        <w:rPr>
          <w:rFonts w:ascii="Arial" w:hAnsi="Arial" w:cs="Arial"/>
        </w:rPr>
        <w:br w:type="page"/>
      </w:r>
    </w:p>
    <w:p w:rsidR="008A7D2E" w:rsidRPr="00A83755" w:rsidRDefault="008A7D2E" w:rsidP="008A7D2E">
      <w:pPr>
        <w:rPr>
          <w:rFonts w:ascii="Arial" w:hAnsi="Arial" w:cs="Arial"/>
          <w:b/>
        </w:rPr>
        <w:sectPr w:rsidR="008A7D2E" w:rsidRPr="00A83755" w:rsidSect="00097493">
          <w:footerReference w:type="default" r:id="rId12"/>
          <w:pgSz w:w="11906" w:h="16838"/>
          <w:pgMar w:top="1417" w:right="1417" w:bottom="1134" w:left="1417" w:header="708" w:footer="708" w:gutter="0"/>
          <w:lnNumType w:countBy="1"/>
          <w:cols w:space="708"/>
          <w:docGrid w:linePitch="360"/>
        </w:sectPr>
      </w:pPr>
    </w:p>
    <w:p w:rsidR="008A7D2E" w:rsidRPr="00A83755" w:rsidRDefault="008A7D2E" w:rsidP="008A7D2E">
      <w:pPr>
        <w:rPr>
          <w:rFonts w:ascii="Arial" w:hAnsi="Arial" w:cs="Arial"/>
          <w:b/>
        </w:rPr>
      </w:pPr>
      <w:r w:rsidRPr="00A83755">
        <w:rPr>
          <w:rFonts w:ascii="Arial" w:hAnsi="Arial" w:cs="Arial"/>
          <w:b/>
        </w:rPr>
        <w:lastRenderedPageBreak/>
        <w:t>Supplementary Table 1. Oligonucleotide sequences used for cloning constructs in pENTR-D/TOPO and other vectors.</w:t>
      </w:r>
    </w:p>
    <w:p w:rsidR="008A7D2E" w:rsidRPr="00A83755" w:rsidRDefault="008A7D2E" w:rsidP="008A7D2E">
      <w:pPr>
        <w:rPr>
          <w:rFonts w:ascii="Arial" w:hAnsi="Arial" w:cs="Arial"/>
          <w:b/>
        </w:rPr>
      </w:pPr>
    </w:p>
    <w:tbl>
      <w:tblPr>
        <w:tblStyle w:val="TableGrid"/>
        <w:tblW w:w="0" w:type="auto"/>
        <w:tblLook w:val="04A0" w:firstRow="1" w:lastRow="0" w:firstColumn="1" w:lastColumn="0" w:noHBand="0" w:noVBand="1"/>
      </w:tblPr>
      <w:tblGrid>
        <w:gridCol w:w="2335"/>
        <w:gridCol w:w="1057"/>
        <w:gridCol w:w="2432"/>
        <w:gridCol w:w="5417"/>
        <w:gridCol w:w="3035"/>
      </w:tblGrid>
      <w:tr w:rsidR="008A7D2E" w:rsidRPr="00A83755" w:rsidTr="009F0FD2">
        <w:tc>
          <w:tcPr>
            <w:tcW w:w="0" w:type="auto"/>
          </w:tcPr>
          <w:p w:rsidR="008A7D2E" w:rsidRPr="00A83755" w:rsidRDefault="008A7D2E" w:rsidP="009F0FD2">
            <w:pPr>
              <w:rPr>
                <w:rFonts w:ascii="Arial" w:hAnsi="Arial" w:cs="Arial"/>
                <w:b/>
                <w:sz w:val="20"/>
                <w:szCs w:val="20"/>
              </w:rPr>
            </w:pPr>
            <w:r w:rsidRPr="00A83755">
              <w:rPr>
                <w:rFonts w:ascii="Arial" w:hAnsi="Arial" w:cs="Arial"/>
                <w:b/>
                <w:sz w:val="20"/>
                <w:szCs w:val="20"/>
              </w:rPr>
              <w:t>Constructs</w:t>
            </w:r>
          </w:p>
        </w:tc>
        <w:tc>
          <w:tcPr>
            <w:tcW w:w="0" w:type="auto"/>
          </w:tcPr>
          <w:p w:rsidR="008A7D2E" w:rsidRPr="00A83755" w:rsidRDefault="008A7D2E" w:rsidP="009F0FD2">
            <w:pPr>
              <w:rPr>
                <w:rFonts w:ascii="Arial" w:hAnsi="Arial" w:cs="Arial"/>
                <w:b/>
                <w:sz w:val="20"/>
                <w:szCs w:val="20"/>
              </w:rPr>
            </w:pPr>
            <w:r w:rsidRPr="00A83755">
              <w:rPr>
                <w:rFonts w:ascii="Arial" w:hAnsi="Arial" w:cs="Arial"/>
                <w:b/>
                <w:sz w:val="20"/>
                <w:szCs w:val="20"/>
              </w:rPr>
              <w:t>Length (aa)</w:t>
            </w:r>
          </w:p>
        </w:tc>
        <w:tc>
          <w:tcPr>
            <w:tcW w:w="0" w:type="auto"/>
          </w:tcPr>
          <w:p w:rsidR="008A7D2E" w:rsidRPr="00A83755" w:rsidRDefault="008A7D2E" w:rsidP="009F0FD2">
            <w:pPr>
              <w:rPr>
                <w:rFonts w:ascii="Arial" w:hAnsi="Arial" w:cs="Arial"/>
                <w:b/>
                <w:sz w:val="20"/>
                <w:szCs w:val="20"/>
              </w:rPr>
            </w:pPr>
            <w:r w:rsidRPr="00A83755">
              <w:rPr>
                <w:rFonts w:ascii="Arial" w:hAnsi="Arial" w:cs="Arial"/>
                <w:b/>
                <w:sz w:val="20"/>
                <w:szCs w:val="20"/>
              </w:rPr>
              <w:t>Primer name</w:t>
            </w:r>
          </w:p>
        </w:tc>
        <w:tc>
          <w:tcPr>
            <w:tcW w:w="5386" w:type="dxa"/>
          </w:tcPr>
          <w:p w:rsidR="008A7D2E" w:rsidRPr="00A83755" w:rsidRDefault="008A7D2E" w:rsidP="009F0FD2">
            <w:pPr>
              <w:rPr>
                <w:rFonts w:ascii="Arial" w:hAnsi="Arial" w:cs="Arial"/>
                <w:b/>
                <w:sz w:val="20"/>
                <w:szCs w:val="20"/>
              </w:rPr>
            </w:pPr>
            <w:r w:rsidRPr="00A83755">
              <w:rPr>
                <w:rFonts w:ascii="Arial" w:hAnsi="Arial" w:cs="Arial"/>
                <w:b/>
                <w:sz w:val="20"/>
                <w:szCs w:val="20"/>
              </w:rPr>
              <w:t>5’→3’ sequence</w:t>
            </w:r>
          </w:p>
        </w:tc>
        <w:tc>
          <w:tcPr>
            <w:tcW w:w="0" w:type="auto"/>
          </w:tcPr>
          <w:p w:rsidR="008A7D2E" w:rsidRPr="00A83755" w:rsidRDefault="008A7D2E" w:rsidP="009F0FD2">
            <w:pPr>
              <w:rPr>
                <w:rFonts w:ascii="Arial" w:hAnsi="Arial" w:cs="Arial"/>
                <w:b/>
                <w:sz w:val="20"/>
                <w:szCs w:val="20"/>
              </w:rPr>
            </w:pPr>
            <w:r w:rsidRPr="00A83755">
              <w:rPr>
                <w:rFonts w:ascii="Arial" w:hAnsi="Arial" w:cs="Arial"/>
                <w:b/>
                <w:sz w:val="20"/>
                <w:szCs w:val="20"/>
              </w:rPr>
              <w:t>Usage</w:t>
            </w: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 1-379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1-379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caccATGTGTGGAGGAGCTATAATCT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TCAAAAGTCTCCTTCCAGCATGA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rPr>
              <w:t>RAP2.2 1-379 (no stop codon)</w:t>
            </w:r>
          </w:p>
        </w:tc>
        <w:tc>
          <w:tcPr>
            <w:tcW w:w="0" w:type="auto"/>
            <w:vMerge w:val="restart"/>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rPr>
              <w:t>1-379</w:t>
            </w:r>
          </w:p>
        </w:tc>
        <w:tc>
          <w:tcPr>
            <w:tcW w:w="0" w:type="auto"/>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RAP2.2_Fl_F</w:t>
            </w:r>
          </w:p>
        </w:tc>
        <w:tc>
          <w:tcPr>
            <w:tcW w:w="5386" w:type="dxa"/>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rPr>
              <w:t>caccATGTGTGGAGGAGCTATAATCT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BiFC</w:t>
            </w:r>
          </w:p>
        </w:tc>
      </w:tr>
      <w:tr w:rsidR="008A7D2E" w:rsidRPr="00A83755" w:rsidTr="009F0FD2">
        <w:tc>
          <w:tcPr>
            <w:tcW w:w="0" w:type="auto"/>
            <w:vMerge/>
            <w:shd w:val="clear" w:color="auto" w:fill="auto"/>
          </w:tcPr>
          <w:p w:rsidR="008A7D2E" w:rsidRPr="00A83755" w:rsidRDefault="008A7D2E" w:rsidP="009F0FD2">
            <w:pPr>
              <w:rPr>
                <w:rFonts w:ascii="Arial" w:hAnsi="Arial" w:cs="Arial"/>
                <w:sz w:val="20"/>
                <w:szCs w:val="20"/>
              </w:rPr>
            </w:pPr>
          </w:p>
        </w:tc>
        <w:tc>
          <w:tcPr>
            <w:tcW w:w="0" w:type="auto"/>
            <w:vMerge/>
            <w:shd w:val="clear" w:color="auto" w:fill="auto"/>
          </w:tcPr>
          <w:p w:rsidR="008A7D2E" w:rsidRPr="00A83755" w:rsidRDefault="008A7D2E" w:rsidP="009F0FD2">
            <w:pPr>
              <w:rPr>
                <w:rFonts w:ascii="Arial" w:hAnsi="Arial" w:cs="Arial"/>
                <w:sz w:val="20"/>
                <w:szCs w:val="20"/>
              </w:rPr>
            </w:pPr>
          </w:p>
        </w:tc>
        <w:tc>
          <w:tcPr>
            <w:tcW w:w="0" w:type="auto"/>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rPr>
              <w:t>RAP2.2_FL_nostop_R</w:t>
            </w:r>
          </w:p>
        </w:tc>
        <w:tc>
          <w:tcPr>
            <w:tcW w:w="5386" w:type="dxa"/>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rPr>
              <w:t>AAAGTCTCCTTCCAGCATGAAA</w:t>
            </w:r>
          </w:p>
        </w:tc>
        <w:tc>
          <w:tcPr>
            <w:tcW w:w="0" w:type="auto"/>
            <w:vMerge/>
          </w:tcPr>
          <w:p w:rsidR="008A7D2E" w:rsidRPr="00A83755" w:rsidRDefault="008A7D2E" w:rsidP="009F0FD2">
            <w:pPr>
              <w:rPr>
                <w:rFonts w:ascii="Arial" w:hAnsi="Arial" w:cs="Arial"/>
                <w:sz w:val="20"/>
                <w:szCs w:val="20"/>
                <w:highlight w:val="yellow"/>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RAP2.2_1-356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1-356</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caccATGTGTGGAGGAGCTATAATCT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RAP2.2_1-356_stop_R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TTATTCCTCTTCCTGAGTCACAGC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RAP2.2_1-331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1-331</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caccATGTGTGGAGGAGCTATAATCT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RAP2.2_1-331_stop_R</w:t>
            </w:r>
          </w:p>
        </w:tc>
        <w:tc>
          <w:tcPr>
            <w:tcW w:w="5386" w:type="dxa"/>
          </w:tcPr>
          <w:p w:rsidR="008A7D2E" w:rsidRPr="00A83755" w:rsidRDefault="008A7D2E" w:rsidP="009F0FD2">
            <w:pPr>
              <w:rPr>
                <w:rFonts w:ascii="Arial" w:hAnsi="Arial" w:cs="Arial"/>
                <w:b/>
                <w:sz w:val="20"/>
                <w:szCs w:val="20"/>
              </w:rPr>
            </w:pPr>
            <w:r w:rsidRPr="00A83755">
              <w:rPr>
                <w:rFonts w:ascii="Arial" w:hAnsi="Arial" w:cs="Arial"/>
                <w:sz w:val="20"/>
                <w:szCs w:val="20"/>
              </w:rPr>
              <w:t>TTAGTCAAGGTATGCCATCAGATCGTC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RAP2.2_267-379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267-379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RAP2.2_267-379_F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ATGGGATACCAGTATTTCAGTTCCGA</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RAP2.2_267-379_stop_R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TCAAAAGTCTCCTTCCAGCATGAAA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RAP2.2_44-303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44-303</w:t>
            </w: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RAP2.2_44-303_F</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caccATGGATTTCTTCGATCTTGACGATGATT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RAP2.2_44-303_stop_R</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TCAATTGACAAGCATTGAAGAGATCTC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RAP2.2_44-267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44-267</w:t>
            </w: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RAP2.2_44-303_F</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caccATGGATTTCTTCGATCTTGACGATGATT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RAP2.2_44-267_stop_R</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TCATCCATTGTTACCTCCAGCATCGAA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RAP2.2_90-303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90-303</w:t>
            </w: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RAP2.2_90-303_F</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caccATGGCTTCCGCTTTCGTCTCCACT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RAP2.2_44-303_stop_R</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TCAATTGACAAGCATTGAAGAGATCTC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RAP2.2_90-267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90-267</w:t>
            </w: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RAP2.2_90-267_F</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caccATGGCTTCCGCTTTCGTCTCCACT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RAP2.2_44-267_stop_R</w:t>
            </w:r>
          </w:p>
        </w:tc>
        <w:tc>
          <w:tcPr>
            <w:tcW w:w="5386" w:type="dxa"/>
          </w:tcPr>
          <w:p w:rsidR="008A7D2E" w:rsidRPr="00A83755" w:rsidRDefault="008A7D2E" w:rsidP="009F0FD2">
            <w:pPr>
              <w:rPr>
                <w:rFonts w:ascii="Arial" w:hAnsi="Arial" w:cs="Arial"/>
                <w:sz w:val="20"/>
                <w:szCs w:val="20"/>
                <w:lang w:val="en-US"/>
              </w:rPr>
            </w:pPr>
            <w:r w:rsidRPr="00A83755">
              <w:rPr>
                <w:rFonts w:ascii="Arial" w:hAnsi="Arial" w:cs="Arial"/>
                <w:sz w:val="20"/>
                <w:szCs w:val="20"/>
                <w:lang w:val="en-US"/>
              </w:rPr>
              <w:t>TCATCCATTGTTACCTCCAGCATCGAA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RAP2.2_336-379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336-379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RAP2.2_336-379_F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caccATGGCCTTGTGGGACACCCCACT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TCAAAAGTCTCCTTCCAGCATGA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RAP2.2_355-379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355-379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RAP2.2_355-379_F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caccATGGTGACTCAGGAAGAGGAAAAC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TCAAAAGTCTCCTTCCAGCATGA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 1-358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1-358</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TCAGAAGACTCCTCCAATCATG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 1-358 (no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1-358</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BiFC</w:t>
            </w:r>
          </w:p>
        </w:tc>
      </w:tr>
      <w:tr w:rsidR="008A7D2E" w:rsidRPr="00A83755" w:rsidTr="009F0FD2">
        <w:tc>
          <w:tcPr>
            <w:tcW w:w="0" w:type="auto"/>
            <w:vMerge/>
          </w:tcPr>
          <w:p w:rsidR="008A7D2E" w:rsidRPr="00A83755" w:rsidRDefault="008A7D2E" w:rsidP="009F0FD2">
            <w:pPr>
              <w:rPr>
                <w:rFonts w:ascii="Arial" w:hAnsi="Arial" w:cs="Arial"/>
                <w:sz w:val="20"/>
                <w:szCs w:val="20"/>
                <w:highlight w:val="yellow"/>
              </w:rPr>
            </w:pPr>
          </w:p>
        </w:tc>
        <w:tc>
          <w:tcPr>
            <w:tcW w:w="0" w:type="auto"/>
            <w:vMerge/>
          </w:tcPr>
          <w:p w:rsidR="008A7D2E" w:rsidRPr="00A83755" w:rsidRDefault="008A7D2E" w:rsidP="009F0FD2">
            <w:pPr>
              <w:rPr>
                <w:rFonts w:ascii="Arial" w:hAnsi="Arial" w:cs="Arial"/>
                <w:sz w:val="20"/>
                <w:szCs w:val="20"/>
                <w:highlight w:val="yellow"/>
              </w:rPr>
            </w:pPr>
          </w:p>
        </w:tc>
        <w:tc>
          <w:tcPr>
            <w:tcW w:w="0" w:type="auto"/>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rPr>
              <w:t>RAP2.12_FL_nostop_R</w:t>
            </w:r>
          </w:p>
        </w:tc>
        <w:tc>
          <w:tcPr>
            <w:tcW w:w="5386" w:type="dxa"/>
            <w:shd w:val="clear" w:color="auto" w:fill="auto"/>
          </w:tcPr>
          <w:p w:rsidR="008A7D2E" w:rsidRPr="00A83755" w:rsidRDefault="008A7D2E" w:rsidP="009F0FD2">
            <w:pPr>
              <w:rPr>
                <w:rFonts w:ascii="Arial" w:hAnsi="Arial" w:cs="Arial"/>
                <w:sz w:val="20"/>
                <w:szCs w:val="20"/>
              </w:rPr>
            </w:pPr>
            <w:r w:rsidRPr="00A83755">
              <w:rPr>
                <w:rFonts w:ascii="Arial" w:hAnsi="Arial" w:cs="Arial"/>
                <w:sz w:val="20"/>
                <w:szCs w:val="20"/>
              </w:rPr>
              <w:t>GAAGACTCCTCCAATCATG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RAP2.12_1-339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1-339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RAP2.12_1-339_stop_R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TTAGTTTGCACCATTGTCCTGAGTC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RAP2.12_1-307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1-307</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RAP2.12_1-307_stop_R</w:t>
            </w:r>
          </w:p>
        </w:tc>
        <w:tc>
          <w:tcPr>
            <w:tcW w:w="5386" w:type="dxa"/>
          </w:tcPr>
          <w:p w:rsidR="008A7D2E" w:rsidRPr="00A83755" w:rsidRDefault="008A7D2E" w:rsidP="009F0FD2">
            <w:pPr>
              <w:rPr>
                <w:rFonts w:ascii="Arial" w:hAnsi="Arial" w:cs="Arial"/>
                <w:b/>
                <w:sz w:val="20"/>
                <w:szCs w:val="20"/>
              </w:rPr>
            </w:pPr>
            <w:r w:rsidRPr="00A83755">
              <w:rPr>
                <w:rFonts w:ascii="Arial" w:hAnsi="Arial" w:cs="Arial"/>
                <w:sz w:val="20"/>
                <w:szCs w:val="20"/>
              </w:rPr>
              <w:t>TTACTTGAGCTTCTTAGCTGGATTGGC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RAP2.12_44-289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44-289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RAP2.12_44-289_F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caccATGAATTTCTTCGATTTTGACGCTGAG</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RAP2.12_44-289_stop_R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TCAGTTGATAACCGCAGAAGAGATGT</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RAP2.12_44-253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44-253</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RAP2.12_44-253_F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caccATGAATTTCTTCGATTTTGACGCTGAG</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RAP2.12_44-253_stop_R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TCACCCATTACATCCAGCATCAACGGA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RAP2.12_93-289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93-289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RAP2.12_93-289_F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caccATGGTCTCCGCCGCTGCGGAAGGTT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RAP2.12_44-289_stop_R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TCAGTTGATAACCGCAGAAGAGATGT</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RAP2.12_93-253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93-253</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RAP2.12_93-253_F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caccATGGTCTCCGCCGCTGCGGAAGGTT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RAP2.12_44-253_stop_R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TCACCCATTACATCCAGCATCAACGGA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RAP2.12_1-179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1-179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RAP2.12_1-179_F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RAP2.12_1-179_stop_R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TTAATTCACCTTAGCTTTAGATCCA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RAP2.12_180-358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180-358</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RAP2.12_180-358_F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caccATGTTCCCTGAAGAAAACATGAAGGCT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TCAGAAGACTCCTCCAATCATG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RAP2.12_225-358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225-358</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RAP2.12_225-358_F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ATGTGTTTCATGGAGGAGAAACACCA</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TCAGAAGACTCCTCCAATCATG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RAP2.12_255-358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255-358</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RAP2.12_255-358_F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ATGCAGTATTTCAGCTCTGACCAGG</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TCAGAAGACTCCTCCAATCATG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RAP2.12_309-358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309-358</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RAP2.12_309-358_F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caccATGATGGATTTCGAGACACCTTACAA</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TCAGAAGACTCCTCCAATCATG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RAP2.12_335-358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335-358</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RAP2.12_335-358_F</w:t>
            </w:r>
          </w:p>
        </w:tc>
        <w:tc>
          <w:tcPr>
            <w:tcW w:w="5386" w:type="dxa"/>
          </w:tcPr>
          <w:p w:rsidR="008A7D2E" w:rsidRPr="00A83755" w:rsidRDefault="008A7D2E" w:rsidP="009F0FD2">
            <w:pPr>
              <w:rPr>
                <w:rFonts w:ascii="Arial" w:hAnsi="Arial" w:cs="Arial"/>
                <w:sz w:val="20"/>
                <w:szCs w:val="20"/>
                <w:u w:val="single"/>
              </w:rPr>
            </w:pPr>
            <w:r w:rsidRPr="00A83755">
              <w:rPr>
                <w:rFonts w:ascii="Arial" w:hAnsi="Arial" w:cs="Arial"/>
                <w:sz w:val="20"/>
                <w:szCs w:val="20"/>
                <w:u w:val="single"/>
              </w:rPr>
              <w:t>caccATGCAGGACAATGGTGCAAACCCT</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RAP2.12_FL_stop_R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TCAGAAGACTCCTCCAATCATG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RAP2.12_1-23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1-23</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RAP2.12_1-23_stop_R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CTAAAACTCGCTAGTAAC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RAP2.12_1-79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1-79</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RAP2.12_1-79_stop_R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CTAATCGGCGAAAACATC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RAP2.12_1-103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1-103</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RAP2.12_1-103_stop_R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CTAACCAAAAACTGAACC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RAP2.12_1-123 (stop codon)</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1-123</w:t>
            </w: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lang w:val="en-US"/>
              </w:rPr>
              <w:t>cacc</w:t>
            </w:r>
            <w:r w:rsidRPr="00A83755">
              <w:rPr>
                <w:rFonts w:ascii="Arial" w:hAnsi="Arial" w:cs="Arial"/>
                <w:sz w:val="20"/>
                <w:szCs w:val="20"/>
              </w:rPr>
              <w:t>ATGTGTGGAGGAGCTATAATATC</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highlight w:val="yellow"/>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lang w:val="en-US"/>
              </w:rPr>
              <w:t>RAP2.12_1-123_stop_R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CTAATTCTTCCTCTTCCTATT</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AtMED25 full length (stop codon)</w:t>
            </w:r>
          </w:p>
        </w:tc>
        <w:tc>
          <w:tcPr>
            <w:tcW w:w="0" w:type="auto"/>
            <w:vMerge w:val="restart"/>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AtMED25_FL_F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caccATGTCGTCGGAGGTGAAACAG</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 semi-quantitative RT-PCR</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AtMED25_FL_stop_R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TTATCCCATGAAGCCAGCTCC</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AtMED25 full length (no stop codon)</w:t>
            </w:r>
          </w:p>
        </w:tc>
        <w:tc>
          <w:tcPr>
            <w:tcW w:w="0" w:type="auto"/>
            <w:vMerge w:val="restart"/>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AtMED25_FL_F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caccATGTCGTCGGAGGTGAAACAG</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GFP fusion, in planta localization, BiFC, ChIP</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AtMED25_FL_nostop_R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TCCCATGAAGCCAGCTCCAG</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AtMED25 promoter</w:t>
            </w:r>
          </w:p>
        </w:tc>
        <w:tc>
          <w:tcPr>
            <w:tcW w:w="0" w:type="auto"/>
            <w:vMerge w:val="restart"/>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pAtMED25_F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caccTTGTTTAGATTTATTCGGATTTTA</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GUS analysis</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pAtMED25_R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AGAAAATGGGATATACAAAGGA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lastRenderedPageBreak/>
              <w:t>ADH1 promoter</w:t>
            </w:r>
          </w:p>
        </w:tc>
        <w:tc>
          <w:tcPr>
            <w:tcW w:w="0" w:type="auto"/>
            <w:vMerge w:val="restart"/>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pADH1_F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caccTGGGCCTATGATTCAACACAACA</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pADH1_R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TATCAACAGTGAAGAACTTGCTT</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HB1 promoter</w:t>
            </w:r>
          </w:p>
        </w:tc>
        <w:tc>
          <w:tcPr>
            <w:tcW w:w="0" w:type="auto"/>
            <w:vMerge w:val="restart"/>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pHB1_F</w:t>
            </w:r>
          </w:p>
        </w:tc>
        <w:tc>
          <w:tcPr>
            <w:tcW w:w="5386" w:type="dxa"/>
          </w:tcPr>
          <w:p w:rsidR="008A7D2E" w:rsidRPr="00A83755" w:rsidRDefault="008A7D2E" w:rsidP="009F0FD2">
            <w:pPr>
              <w:autoSpaceDE w:val="0"/>
              <w:autoSpaceDN w:val="0"/>
              <w:adjustRightInd w:val="0"/>
              <w:rPr>
                <w:rFonts w:ascii="Arial" w:hAnsi="Arial" w:cs="Arial"/>
                <w:sz w:val="20"/>
                <w:szCs w:val="20"/>
              </w:rPr>
            </w:pPr>
            <w:r w:rsidRPr="00A83755">
              <w:rPr>
                <w:rFonts w:ascii="Arial" w:hAnsi="Arial" w:cs="Arial"/>
                <w:sz w:val="20"/>
                <w:szCs w:val="20"/>
              </w:rPr>
              <w:t>caccGAAATTAAACACCTTCTTCTGTAA</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Transactivation assay</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pHB1_R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AATATTTCACAACCTCTAAATGAT</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OsMED25 full length (stop codon)</w:t>
            </w:r>
          </w:p>
        </w:tc>
        <w:tc>
          <w:tcPr>
            <w:tcW w:w="0" w:type="auto"/>
            <w:vMerge w:val="restart"/>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OsMED25_FL_F</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caccATGGCGGCGGCGGCGGCCGAGA</w:t>
            </w:r>
          </w:p>
        </w:tc>
        <w:tc>
          <w:tcPr>
            <w:tcW w:w="0" w:type="auto"/>
            <w:vMerge w:val="restart"/>
          </w:tcPr>
          <w:p w:rsidR="008A7D2E" w:rsidRPr="00A83755" w:rsidRDefault="008A7D2E" w:rsidP="009F0FD2">
            <w:pPr>
              <w:rPr>
                <w:rFonts w:ascii="Arial" w:hAnsi="Arial" w:cs="Arial"/>
                <w:sz w:val="20"/>
                <w:szCs w:val="20"/>
              </w:rPr>
            </w:pPr>
            <w:r w:rsidRPr="00A83755">
              <w:rPr>
                <w:rFonts w:ascii="Arial" w:hAnsi="Arial" w:cs="Arial"/>
                <w:sz w:val="20"/>
                <w:szCs w:val="20"/>
              </w:rPr>
              <w:t>Y2H, transactivation assay, BiFC</w:t>
            </w:r>
          </w:p>
        </w:tc>
      </w:tr>
      <w:tr w:rsidR="008A7D2E" w:rsidRPr="00A83755" w:rsidTr="009F0FD2">
        <w:tc>
          <w:tcPr>
            <w:tcW w:w="0" w:type="auto"/>
            <w:vMerge/>
          </w:tcPr>
          <w:p w:rsidR="008A7D2E" w:rsidRPr="00A83755" w:rsidRDefault="008A7D2E" w:rsidP="009F0FD2">
            <w:pPr>
              <w:rPr>
                <w:rFonts w:ascii="Arial" w:hAnsi="Arial" w:cs="Arial"/>
                <w:sz w:val="20"/>
                <w:szCs w:val="20"/>
              </w:rPr>
            </w:pPr>
          </w:p>
        </w:tc>
        <w:tc>
          <w:tcPr>
            <w:tcW w:w="0" w:type="auto"/>
            <w:vMerge/>
          </w:tcPr>
          <w:p w:rsidR="008A7D2E" w:rsidRPr="00A83755" w:rsidRDefault="008A7D2E" w:rsidP="009F0FD2">
            <w:pPr>
              <w:rPr>
                <w:rFonts w:ascii="Arial" w:hAnsi="Arial" w:cs="Arial"/>
                <w:sz w:val="20"/>
                <w:szCs w:val="20"/>
              </w:rPr>
            </w:pPr>
          </w:p>
        </w:tc>
        <w:tc>
          <w:tcPr>
            <w:tcW w:w="0" w:type="auto"/>
          </w:tcPr>
          <w:p w:rsidR="008A7D2E" w:rsidRPr="00A83755" w:rsidRDefault="008A7D2E" w:rsidP="009F0FD2">
            <w:pPr>
              <w:rPr>
                <w:rFonts w:ascii="Arial" w:hAnsi="Arial" w:cs="Arial"/>
                <w:sz w:val="20"/>
                <w:szCs w:val="20"/>
              </w:rPr>
            </w:pPr>
            <w:r w:rsidRPr="00A83755">
              <w:rPr>
                <w:rFonts w:ascii="Arial" w:hAnsi="Arial" w:cs="Arial"/>
                <w:sz w:val="20"/>
                <w:szCs w:val="20"/>
              </w:rPr>
              <w:t>OsMED25_FL_stop_R</w:t>
            </w:r>
          </w:p>
        </w:tc>
        <w:tc>
          <w:tcPr>
            <w:tcW w:w="5386" w:type="dxa"/>
          </w:tcPr>
          <w:p w:rsidR="008A7D2E" w:rsidRPr="00A83755" w:rsidRDefault="008A7D2E" w:rsidP="009F0FD2">
            <w:pPr>
              <w:rPr>
                <w:rFonts w:ascii="Arial" w:hAnsi="Arial" w:cs="Arial"/>
                <w:sz w:val="20"/>
                <w:szCs w:val="20"/>
              </w:rPr>
            </w:pPr>
            <w:r w:rsidRPr="00A83755">
              <w:rPr>
                <w:rFonts w:ascii="Arial" w:hAnsi="Arial" w:cs="Arial"/>
                <w:sz w:val="20"/>
                <w:szCs w:val="20"/>
              </w:rPr>
              <w:t>TCAAGATAGGTAGCCACCCCCA</w:t>
            </w:r>
          </w:p>
        </w:tc>
        <w:tc>
          <w:tcPr>
            <w:tcW w:w="0" w:type="auto"/>
            <w:vMerge/>
          </w:tcPr>
          <w:p w:rsidR="008A7D2E" w:rsidRPr="00A83755" w:rsidRDefault="008A7D2E" w:rsidP="009F0FD2">
            <w:pPr>
              <w:rPr>
                <w:rFonts w:ascii="Arial" w:hAnsi="Arial" w:cs="Arial"/>
                <w:sz w:val="20"/>
                <w:szCs w:val="20"/>
              </w:rPr>
            </w:pPr>
          </w:p>
        </w:tc>
      </w:tr>
      <w:tr w:rsidR="008A7D2E" w:rsidRPr="00A83755" w:rsidTr="009F0FD2">
        <w:tc>
          <w:tcPr>
            <w:tcW w:w="0" w:type="auto"/>
            <w:vMerge w:val="restart"/>
          </w:tcPr>
          <w:p w:rsidR="008A7D2E" w:rsidRPr="00A83755" w:rsidRDefault="008A7D2E" w:rsidP="009F0FD2">
            <w:pPr>
              <w:rPr>
                <w:rFonts w:ascii="Arial" w:hAnsi="Arial" w:cs="Arial"/>
                <w:sz w:val="20"/>
              </w:rPr>
            </w:pPr>
            <w:r w:rsidRPr="00A83755">
              <w:rPr>
                <w:rFonts w:ascii="Arial" w:hAnsi="Arial" w:cs="Arial"/>
                <w:sz w:val="20"/>
              </w:rPr>
              <w:t>RAP2.2-GFP</w:t>
            </w:r>
          </w:p>
        </w:tc>
        <w:tc>
          <w:tcPr>
            <w:tcW w:w="0" w:type="auto"/>
            <w:vMerge w:val="restart"/>
          </w:tcPr>
          <w:p w:rsidR="008A7D2E" w:rsidRPr="00A83755" w:rsidRDefault="008A7D2E" w:rsidP="009F0FD2">
            <w:pPr>
              <w:rPr>
                <w:rFonts w:ascii="Arial" w:hAnsi="Arial" w:cs="Arial"/>
                <w:sz w:val="20"/>
              </w:rPr>
            </w:pPr>
          </w:p>
        </w:tc>
        <w:tc>
          <w:tcPr>
            <w:tcW w:w="0" w:type="auto"/>
          </w:tcPr>
          <w:p w:rsidR="008A7D2E" w:rsidRPr="00A83755" w:rsidRDefault="008A7D2E" w:rsidP="009F0FD2">
            <w:pPr>
              <w:rPr>
                <w:rFonts w:ascii="Arial" w:hAnsi="Arial" w:cs="Arial"/>
                <w:sz w:val="20"/>
              </w:rPr>
            </w:pPr>
            <w:r w:rsidRPr="00A83755">
              <w:rPr>
                <w:rFonts w:ascii="Arial" w:hAnsi="Arial" w:cs="Arial"/>
                <w:sz w:val="20"/>
              </w:rPr>
              <w:t>RAP2.2-CFP_F</w:t>
            </w:r>
          </w:p>
        </w:tc>
        <w:tc>
          <w:tcPr>
            <w:tcW w:w="5386" w:type="dxa"/>
          </w:tcPr>
          <w:p w:rsidR="008A7D2E" w:rsidRPr="00A83755" w:rsidRDefault="008A7D2E" w:rsidP="009F0FD2">
            <w:pPr>
              <w:rPr>
                <w:rFonts w:ascii="Arial" w:hAnsi="Arial" w:cs="Arial"/>
                <w:sz w:val="20"/>
              </w:rPr>
            </w:pPr>
            <w:r w:rsidRPr="00A83755">
              <w:rPr>
                <w:rFonts w:ascii="Arial" w:hAnsi="Arial" w:cs="Arial"/>
                <w:sz w:val="20"/>
              </w:rPr>
              <w:t>TTTGCGATCGCATGTGTGGAGGAGCTATAATCT</w:t>
            </w:r>
          </w:p>
        </w:tc>
        <w:tc>
          <w:tcPr>
            <w:tcW w:w="0" w:type="auto"/>
            <w:vMerge w:val="restart"/>
          </w:tcPr>
          <w:p w:rsidR="008A7D2E" w:rsidRPr="00A83755" w:rsidRDefault="008A7D2E" w:rsidP="009F0FD2">
            <w:pPr>
              <w:rPr>
                <w:rFonts w:ascii="Arial" w:hAnsi="Arial" w:cs="Arial"/>
                <w:sz w:val="20"/>
              </w:rPr>
            </w:pPr>
            <w:r w:rsidRPr="00A83755">
              <w:rPr>
                <w:rFonts w:ascii="Arial" w:hAnsi="Arial" w:cs="Arial"/>
                <w:sz w:val="20"/>
              </w:rPr>
              <w:t>Co-IP</w:t>
            </w:r>
          </w:p>
        </w:tc>
      </w:tr>
      <w:tr w:rsidR="008A7D2E" w:rsidRPr="00A83755" w:rsidTr="009F0FD2">
        <w:tc>
          <w:tcPr>
            <w:tcW w:w="0" w:type="auto"/>
            <w:vMerge/>
          </w:tcPr>
          <w:p w:rsidR="008A7D2E" w:rsidRPr="00A83755" w:rsidRDefault="008A7D2E" w:rsidP="009F0FD2">
            <w:pPr>
              <w:rPr>
                <w:rFonts w:ascii="Arial" w:hAnsi="Arial" w:cs="Arial"/>
                <w:sz w:val="20"/>
              </w:rPr>
            </w:pPr>
          </w:p>
        </w:tc>
        <w:tc>
          <w:tcPr>
            <w:tcW w:w="0" w:type="auto"/>
            <w:vMerge/>
          </w:tcPr>
          <w:p w:rsidR="008A7D2E" w:rsidRPr="00A83755" w:rsidRDefault="008A7D2E" w:rsidP="009F0FD2">
            <w:pPr>
              <w:rPr>
                <w:rFonts w:ascii="Arial" w:hAnsi="Arial" w:cs="Arial"/>
                <w:sz w:val="20"/>
              </w:rPr>
            </w:pPr>
          </w:p>
        </w:tc>
        <w:tc>
          <w:tcPr>
            <w:tcW w:w="0" w:type="auto"/>
          </w:tcPr>
          <w:p w:rsidR="008A7D2E" w:rsidRPr="00A83755" w:rsidRDefault="008A7D2E" w:rsidP="009F0FD2">
            <w:pPr>
              <w:rPr>
                <w:rFonts w:ascii="Arial" w:hAnsi="Arial" w:cs="Arial"/>
                <w:sz w:val="20"/>
              </w:rPr>
            </w:pPr>
            <w:r w:rsidRPr="00A83755">
              <w:rPr>
                <w:rFonts w:ascii="Arial" w:hAnsi="Arial" w:cs="Arial"/>
                <w:sz w:val="20"/>
              </w:rPr>
              <w:t>RAP2.2-CFP_R</w:t>
            </w:r>
          </w:p>
        </w:tc>
        <w:tc>
          <w:tcPr>
            <w:tcW w:w="5386" w:type="dxa"/>
          </w:tcPr>
          <w:p w:rsidR="008A7D2E" w:rsidRPr="00A83755" w:rsidRDefault="008A7D2E" w:rsidP="009F0FD2">
            <w:pPr>
              <w:rPr>
                <w:rFonts w:ascii="Arial" w:hAnsi="Arial" w:cs="Arial"/>
                <w:sz w:val="20"/>
              </w:rPr>
            </w:pPr>
            <w:r w:rsidRPr="00A83755">
              <w:rPr>
                <w:rFonts w:ascii="Arial" w:hAnsi="Arial" w:cs="Arial"/>
                <w:sz w:val="20"/>
              </w:rPr>
              <w:t>AAAGTTTAAACTTACTTGTACAGCTCGTCCATGC</w:t>
            </w:r>
          </w:p>
        </w:tc>
        <w:tc>
          <w:tcPr>
            <w:tcW w:w="0" w:type="auto"/>
            <w:vMerge/>
          </w:tcPr>
          <w:p w:rsidR="008A7D2E" w:rsidRPr="00A83755" w:rsidRDefault="008A7D2E" w:rsidP="009F0FD2">
            <w:pPr>
              <w:rPr>
                <w:rFonts w:ascii="Arial" w:hAnsi="Arial" w:cs="Arial"/>
                <w:sz w:val="20"/>
              </w:rPr>
            </w:pPr>
          </w:p>
        </w:tc>
      </w:tr>
      <w:tr w:rsidR="008A7D2E" w:rsidRPr="00A83755" w:rsidTr="009F0FD2">
        <w:tc>
          <w:tcPr>
            <w:tcW w:w="0" w:type="auto"/>
            <w:vMerge w:val="restart"/>
          </w:tcPr>
          <w:p w:rsidR="008A7D2E" w:rsidRPr="00A83755" w:rsidRDefault="008A7D2E" w:rsidP="009F0FD2">
            <w:pPr>
              <w:rPr>
                <w:rFonts w:ascii="Arial" w:hAnsi="Arial" w:cs="Arial"/>
                <w:sz w:val="20"/>
              </w:rPr>
            </w:pPr>
            <w:r w:rsidRPr="00A83755">
              <w:rPr>
                <w:rFonts w:ascii="Arial" w:hAnsi="Arial" w:cs="Arial"/>
                <w:sz w:val="20"/>
              </w:rPr>
              <w:t>flag-AtMED25Δq</w:t>
            </w:r>
          </w:p>
        </w:tc>
        <w:tc>
          <w:tcPr>
            <w:tcW w:w="0" w:type="auto"/>
            <w:vMerge w:val="restart"/>
          </w:tcPr>
          <w:p w:rsidR="008A7D2E" w:rsidRPr="00A83755" w:rsidRDefault="008A7D2E" w:rsidP="009F0FD2">
            <w:pPr>
              <w:rPr>
                <w:rFonts w:ascii="Arial" w:hAnsi="Arial" w:cs="Arial"/>
                <w:sz w:val="20"/>
              </w:rPr>
            </w:pPr>
          </w:p>
        </w:tc>
        <w:tc>
          <w:tcPr>
            <w:tcW w:w="0" w:type="auto"/>
          </w:tcPr>
          <w:p w:rsidR="008A7D2E" w:rsidRPr="00A83755" w:rsidRDefault="008A7D2E" w:rsidP="009F0FD2">
            <w:pPr>
              <w:rPr>
                <w:rFonts w:ascii="Arial" w:hAnsi="Arial" w:cs="Arial"/>
                <w:sz w:val="20"/>
              </w:rPr>
            </w:pPr>
            <w:r w:rsidRPr="00A83755">
              <w:rPr>
                <w:rFonts w:ascii="Arial" w:hAnsi="Arial" w:cs="Arial"/>
                <w:sz w:val="20"/>
              </w:rPr>
              <w:t>flag-AtMED25Δq_F</w:t>
            </w:r>
          </w:p>
        </w:tc>
        <w:tc>
          <w:tcPr>
            <w:tcW w:w="5386" w:type="dxa"/>
          </w:tcPr>
          <w:p w:rsidR="008A7D2E" w:rsidRPr="00A83755" w:rsidRDefault="008A7D2E" w:rsidP="009F0FD2">
            <w:pPr>
              <w:rPr>
                <w:rFonts w:ascii="Arial" w:hAnsi="Arial" w:cs="Arial"/>
                <w:sz w:val="20"/>
              </w:rPr>
            </w:pPr>
            <w:r w:rsidRPr="00A83755">
              <w:rPr>
                <w:rFonts w:ascii="Arial" w:hAnsi="Arial" w:cs="Arial"/>
                <w:sz w:val="20"/>
              </w:rPr>
              <w:t>AAAGCGATCGCATGGATTACAAGGATGACGATGACAA</w:t>
            </w:r>
          </w:p>
          <w:p w:rsidR="008A7D2E" w:rsidRPr="00A83755" w:rsidRDefault="008A7D2E" w:rsidP="009F0FD2">
            <w:pPr>
              <w:rPr>
                <w:rFonts w:ascii="Arial" w:hAnsi="Arial" w:cs="Arial"/>
                <w:sz w:val="20"/>
              </w:rPr>
            </w:pPr>
            <w:r w:rsidRPr="00A83755">
              <w:rPr>
                <w:rFonts w:ascii="Arial" w:hAnsi="Arial" w:cs="Arial"/>
                <w:sz w:val="20"/>
              </w:rPr>
              <w:t>GGCAGCCGGTTCGTCGGAGGTGAAACAGCTGA</w:t>
            </w:r>
          </w:p>
        </w:tc>
        <w:tc>
          <w:tcPr>
            <w:tcW w:w="0" w:type="auto"/>
            <w:vMerge w:val="restart"/>
          </w:tcPr>
          <w:p w:rsidR="008A7D2E" w:rsidRPr="00A83755" w:rsidRDefault="008A7D2E" w:rsidP="009F0FD2">
            <w:pPr>
              <w:rPr>
                <w:rFonts w:ascii="Arial" w:hAnsi="Arial" w:cs="Arial"/>
                <w:sz w:val="20"/>
              </w:rPr>
            </w:pPr>
            <w:r w:rsidRPr="00A83755">
              <w:rPr>
                <w:rFonts w:ascii="Arial" w:hAnsi="Arial" w:cs="Arial"/>
                <w:sz w:val="20"/>
              </w:rPr>
              <w:t>Co-IP</w:t>
            </w:r>
          </w:p>
        </w:tc>
      </w:tr>
      <w:tr w:rsidR="008A7D2E" w:rsidRPr="00A83755" w:rsidTr="009F0FD2">
        <w:tc>
          <w:tcPr>
            <w:tcW w:w="0" w:type="auto"/>
            <w:vMerge/>
          </w:tcPr>
          <w:p w:rsidR="008A7D2E" w:rsidRPr="00A83755" w:rsidRDefault="008A7D2E" w:rsidP="009F0FD2">
            <w:pPr>
              <w:rPr>
                <w:rFonts w:ascii="Arial" w:hAnsi="Arial" w:cs="Arial"/>
                <w:sz w:val="20"/>
              </w:rPr>
            </w:pPr>
          </w:p>
        </w:tc>
        <w:tc>
          <w:tcPr>
            <w:tcW w:w="0" w:type="auto"/>
            <w:vMerge/>
          </w:tcPr>
          <w:p w:rsidR="008A7D2E" w:rsidRPr="00A83755" w:rsidRDefault="008A7D2E" w:rsidP="009F0FD2">
            <w:pPr>
              <w:rPr>
                <w:rFonts w:ascii="Arial" w:hAnsi="Arial" w:cs="Arial"/>
                <w:sz w:val="20"/>
              </w:rPr>
            </w:pPr>
          </w:p>
        </w:tc>
        <w:tc>
          <w:tcPr>
            <w:tcW w:w="0" w:type="auto"/>
          </w:tcPr>
          <w:p w:rsidR="008A7D2E" w:rsidRPr="00A83755" w:rsidRDefault="008A7D2E" w:rsidP="009F0FD2">
            <w:pPr>
              <w:rPr>
                <w:rFonts w:ascii="Arial" w:hAnsi="Arial" w:cs="Arial"/>
                <w:sz w:val="20"/>
              </w:rPr>
            </w:pPr>
            <w:r w:rsidRPr="00A83755">
              <w:rPr>
                <w:rFonts w:ascii="Arial" w:hAnsi="Arial" w:cs="Arial"/>
                <w:sz w:val="20"/>
              </w:rPr>
              <w:t>flag-AtMED25Δq_F</w:t>
            </w:r>
          </w:p>
        </w:tc>
        <w:tc>
          <w:tcPr>
            <w:tcW w:w="5386" w:type="dxa"/>
          </w:tcPr>
          <w:p w:rsidR="008A7D2E" w:rsidRPr="00A83755" w:rsidRDefault="008A7D2E" w:rsidP="009F0FD2">
            <w:pPr>
              <w:rPr>
                <w:rFonts w:ascii="Arial" w:hAnsi="Arial" w:cs="Arial"/>
                <w:sz w:val="20"/>
              </w:rPr>
            </w:pPr>
            <w:r w:rsidRPr="00A83755">
              <w:rPr>
                <w:rFonts w:ascii="Arial" w:hAnsi="Arial" w:cs="Arial"/>
                <w:sz w:val="20"/>
              </w:rPr>
              <w:t>TGTGGTTTAAATTACACAACCATATCCCCTGGGAAAAG</w:t>
            </w:r>
          </w:p>
          <w:p w:rsidR="008A7D2E" w:rsidRPr="00A83755" w:rsidRDefault="008A7D2E" w:rsidP="009F0FD2">
            <w:pPr>
              <w:rPr>
                <w:rFonts w:ascii="Arial" w:hAnsi="Arial" w:cs="Arial"/>
                <w:sz w:val="20"/>
              </w:rPr>
            </w:pPr>
            <w:r w:rsidRPr="00A83755">
              <w:rPr>
                <w:rFonts w:ascii="Arial" w:hAnsi="Arial" w:cs="Arial"/>
                <w:sz w:val="20"/>
              </w:rPr>
              <w:t>CATTCCAA</w:t>
            </w:r>
          </w:p>
        </w:tc>
        <w:tc>
          <w:tcPr>
            <w:tcW w:w="0" w:type="auto"/>
            <w:vMerge/>
          </w:tcPr>
          <w:p w:rsidR="008A7D2E" w:rsidRPr="00A83755" w:rsidRDefault="008A7D2E" w:rsidP="009F0FD2">
            <w:pPr>
              <w:rPr>
                <w:rFonts w:ascii="Arial" w:hAnsi="Arial" w:cs="Arial"/>
                <w:sz w:val="20"/>
              </w:rPr>
            </w:pPr>
          </w:p>
        </w:tc>
      </w:tr>
    </w:tbl>
    <w:p w:rsidR="008A7D2E" w:rsidRPr="00A83755" w:rsidRDefault="008A7D2E" w:rsidP="008A7D2E">
      <w:pPr>
        <w:rPr>
          <w:b/>
          <w:sz w:val="32"/>
        </w:rPr>
        <w:sectPr w:rsidR="008A7D2E" w:rsidRPr="00A83755" w:rsidSect="00534E9E">
          <w:pgSz w:w="16838" w:h="11906" w:orient="landscape"/>
          <w:pgMar w:top="1418" w:right="1134" w:bottom="1418" w:left="1418" w:header="709" w:footer="709" w:gutter="0"/>
          <w:lnNumType w:countBy="1"/>
          <w:cols w:space="708"/>
          <w:docGrid w:linePitch="360"/>
        </w:sectPr>
      </w:pPr>
    </w:p>
    <w:p w:rsidR="008A7D2E" w:rsidRPr="00A83755" w:rsidRDefault="008A7D2E" w:rsidP="008A7D2E">
      <w:r w:rsidRPr="00A83755">
        <w:rPr>
          <w:rFonts w:ascii="Arial" w:hAnsi="Arial" w:cs="Arial"/>
          <w:b/>
        </w:rPr>
        <w:lastRenderedPageBreak/>
        <w:t>Supplementary Table 2. Sequences of oligonucleotides used for RT-qPCR expression analysis of ethylene-induced genes.</w:t>
      </w:r>
    </w:p>
    <w:p w:rsidR="008A7D2E" w:rsidRPr="00A83755" w:rsidRDefault="008A7D2E" w:rsidP="008A7D2E"/>
    <w:tbl>
      <w:tblPr>
        <w:tblStyle w:val="TableGrid"/>
        <w:tblW w:w="0" w:type="auto"/>
        <w:tblLook w:val="04A0" w:firstRow="1" w:lastRow="0" w:firstColumn="1" w:lastColumn="0" w:noHBand="0" w:noVBand="1"/>
      </w:tblPr>
      <w:tblGrid>
        <w:gridCol w:w="1002"/>
        <w:gridCol w:w="4030"/>
        <w:gridCol w:w="4030"/>
      </w:tblGrid>
      <w:tr w:rsidR="008A7D2E" w:rsidRPr="00A83755" w:rsidTr="009F0FD2">
        <w:tc>
          <w:tcPr>
            <w:tcW w:w="1002" w:type="dxa"/>
          </w:tcPr>
          <w:p w:rsidR="008A7D2E" w:rsidRPr="00A83755" w:rsidRDefault="008A7D2E" w:rsidP="009F0FD2">
            <w:pPr>
              <w:rPr>
                <w:rFonts w:ascii="Arial" w:hAnsi="Arial" w:cs="Arial"/>
                <w:b/>
              </w:rPr>
            </w:pPr>
            <w:r w:rsidRPr="00A83755">
              <w:rPr>
                <w:rFonts w:ascii="Arial" w:hAnsi="Arial" w:cs="Arial"/>
                <w:b/>
              </w:rPr>
              <w:t>Gene</w:t>
            </w:r>
          </w:p>
        </w:tc>
        <w:tc>
          <w:tcPr>
            <w:tcW w:w="4030" w:type="dxa"/>
          </w:tcPr>
          <w:p w:rsidR="008A7D2E" w:rsidRPr="00A83755" w:rsidRDefault="008A7D2E" w:rsidP="009F0FD2">
            <w:pPr>
              <w:rPr>
                <w:rFonts w:ascii="Arial" w:hAnsi="Arial" w:cs="Arial"/>
              </w:rPr>
            </w:pPr>
            <w:r w:rsidRPr="00A83755">
              <w:rPr>
                <w:rFonts w:ascii="Arial" w:eastAsia="Times New Roman" w:hAnsi="Arial" w:cs="Arial"/>
                <w:b/>
                <w:bCs/>
                <w:lang w:eastAsia="en-GB"/>
              </w:rPr>
              <w:t>Forward primer 5'→3'</w:t>
            </w:r>
          </w:p>
        </w:tc>
        <w:tc>
          <w:tcPr>
            <w:tcW w:w="4030" w:type="dxa"/>
          </w:tcPr>
          <w:p w:rsidR="008A7D2E" w:rsidRPr="00A83755" w:rsidRDefault="008A7D2E" w:rsidP="009F0FD2">
            <w:pPr>
              <w:rPr>
                <w:rFonts w:ascii="Arial" w:hAnsi="Arial" w:cs="Arial"/>
              </w:rPr>
            </w:pPr>
            <w:r w:rsidRPr="00A83755">
              <w:rPr>
                <w:rFonts w:ascii="Arial" w:eastAsia="Times New Roman" w:hAnsi="Arial" w:cs="Arial"/>
                <w:b/>
                <w:bCs/>
                <w:lang w:eastAsia="en-GB"/>
              </w:rPr>
              <w:t>Reverse primer 5'→3'</w:t>
            </w:r>
          </w:p>
        </w:tc>
      </w:tr>
      <w:tr w:rsidR="008A7D2E" w:rsidRPr="00A83755" w:rsidTr="009F0FD2">
        <w:tc>
          <w:tcPr>
            <w:tcW w:w="1002" w:type="dxa"/>
          </w:tcPr>
          <w:p w:rsidR="008A7D2E" w:rsidRPr="00A83755" w:rsidRDefault="008A7D2E" w:rsidP="009F0FD2">
            <w:pPr>
              <w:rPr>
                <w:rFonts w:ascii="Arial" w:hAnsi="Arial" w:cs="Arial"/>
                <w:i/>
              </w:rPr>
            </w:pPr>
            <w:r w:rsidRPr="00A83755">
              <w:rPr>
                <w:rFonts w:ascii="Arial" w:hAnsi="Arial" w:cs="Arial"/>
                <w:i/>
              </w:rPr>
              <w:t>ETR2</w:t>
            </w:r>
          </w:p>
        </w:tc>
        <w:tc>
          <w:tcPr>
            <w:tcW w:w="4030" w:type="dxa"/>
          </w:tcPr>
          <w:p w:rsidR="008A7D2E" w:rsidRPr="00A83755" w:rsidRDefault="008A7D2E" w:rsidP="009F0FD2">
            <w:pPr>
              <w:rPr>
                <w:rFonts w:ascii="Arial" w:hAnsi="Arial" w:cs="Arial"/>
              </w:rPr>
            </w:pPr>
            <w:r w:rsidRPr="00A83755">
              <w:rPr>
                <w:rFonts w:ascii="Arial" w:eastAsia="Times New Roman" w:hAnsi="Arial" w:cs="Arial"/>
                <w:lang w:eastAsia="de-DE"/>
              </w:rPr>
              <w:t>tgttagattctccggcggctatg</w:t>
            </w:r>
          </w:p>
        </w:tc>
        <w:tc>
          <w:tcPr>
            <w:tcW w:w="4030" w:type="dxa"/>
          </w:tcPr>
          <w:p w:rsidR="008A7D2E" w:rsidRPr="00A83755" w:rsidRDefault="008A7D2E" w:rsidP="009F0FD2">
            <w:pPr>
              <w:rPr>
                <w:rFonts w:ascii="Arial" w:hAnsi="Arial" w:cs="Arial"/>
              </w:rPr>
            </w:pPr>
            <w:r w:rsidRPr="00A83755">
              <w:rPr>
                <w:rFonts w:ascii="Arial" w:eastAsia="Times New Roman" w:hAnsi="Arial" w:cs="Arial"/>
                <w:lang w:eastAsia="de-DE"/>
              </w:rPr>
              <w:t>ttcccatgaatcaactgcaccac</w:t>
            </w:r>
          </w:p>
        </w:tc>
      </w:tr>
      <w:tr w:rsidR="008A7D2E" w:rsidRPr="00A83755" w:rsidTr="009F0FD2">
        <w:tc>
          <w:tcPr>
            <w:tcW w:w="1002" w:type="dxa"/>
          </w:tcPr>
          <w:p w:rsidR="008A7D2E" w:rsidRPr="00A83755" w:rsidRDefault="008A7D2E" w:rsidP="009F0FD2">
            <w:pPr>
              <w:rPr>
                <w:rFonts w:ascii="Arial" w:hAnsi="Arial" w:cs="Arial"/>
                <w:i/>
              </w:rPr>
            </w:pPr>
            <w:r w:rsidRPr="00A83755">
              <w:rPr>
                <w:rFonts w:ascii="Arial" w:hAnsi="Arial" w:cs="Arial"/>
                <w:i/>
              </w:rPr>
              <w:t>PGB1</w:t>
            </w:r>
          </w:p>
        </w:tc>
        <w:tc>
          <w:tcPr>
            <w:tcW w:w="4030" w:type="dxa"/>
          </w:tcPr>
          <w:p w:rsidR="008A7D2E" w:rsidRPr="00A83755" w:rsidRDefault="008A7D2E" w:rsidP="009F0FD2">
            <w:pPr>
              <w:rPr>
                <w:rFonts w:ascii="Arial" w:hAnsi="Arial" w:cs="Arial"/>
              </w:rPr>
            </w:pPr>
            <w:r w:rsidRPr="00A83755">
              <w:rPr>
                <w:rFonts w:ascii="Arial" w:eastAsia="Times New Roman" w:hAnsi="Arial" w:cs="Arial"/>
                <w:lang w:eastAsia="de-DE"/>
              </w:rPr>
              <w:t>ggctcttgtagtgaagtcttgga</w:t>
            </w:r>
          </w:p>
        </w:tc>
        <w:tc>
          <w:tcPr>
            <w:tcW w:w="4030" w:type="dxa"/>
          </w:tcPr>
          <w:p w:rsidR="008A7D2E" w:rsidRPr="00A83755" w:rsidRDefault="008A7D2E" w:rsidP="009F0FD2">
            <w:pPr>
              <w:rPr>
                <w:rFonts w:ascii="Arial" w:hAnsi="Arial" w:cs="Arial"/>
              </w:rPr>
            </w:pPr>
            <w:r w:rsidRPr="00A83755">
              <w:rPr>
                <w:rFonts w:ascii="Arial" w:eastAsia="Times New Roman" w:hAnsi="Arial" w:cs="Arial"/>
                <w:lang w:eastAsia="de-DE"/>
              </w:rPr>
              <w:t>cttcgttgttggtgcaatctca</w:t>
            </w:r>
          </w:p>
        </w:tc>
      </w:tr>
      <w:tr w:rsidR="008A7D2E" w:rsidRPr="00A83755" w:rsidTr="009F0FD2">
        <w:tc>
          <w:tcPr>
            <w:tcW w:w="1002" w:type="dxa"/>
          </w:tcPr>
          <w:p w:rsidR="008A7D2E" w:rsidRPr="00A83755" w:rsidRDefault="008A7D2E" w:rsidP="009F0FD2">
            <w:pPr>
              <w:rPr>
                <w:rFonts w:ascii="Arial" w:hAnsi="Arial" w:cs="Arial"/>
                <w:i/>
              </w:rPr>
            </w:pPr>
            <w:r w:rsidRPr="00A83755">
              <w:rPr>
                <w:rFonts w:ascii="Arial" w:hAnsi="Arial" w:cs="Arial"/>
                <w:i/>
              </w:rPr>
              <w:t>HRE1</w:t>
            </w:r>
          </w:p>
        </w:tc>
        <w:tc>
          <w:tcPr>
            <w:tcW w:w="4030" w:type="dxa"/>
          </w:tcPr>
          <w:p w:rsidR="008A7D2E" w:rsidRPr="00A83755" w:rsidRDefault="008A7D2E" w:rsidP="009F0FD2">
            <w:pPr>
              <w:rPr>
                <w:rFonts w:ascii="Arial" w:hAnsi="Arial" w:cs="Arial"/>
                <w:highlight w:val="yellow"/>
              </w:rPr>
            </w:pPr>
            <w:r w:rsidRPr="00A83755">
              <w:rPr>
                <w:rFonts w:ascii="Arial" w:hAnsi="Arial" w:cs="Arial"/>
              </w:rPr>
              <w:t>tccgatgagccatttgtcttctcc</w:t>
            </w:r>
          </w:p>
        </w:tc>
        <w:tc>
          <w:tcPr>
            <w:tcW w:w="4030" w:type="dxa"/>
          </w:tcPr>
          <w:p w:rsidR="008A7D2E" w:rsidRPr="00A83755" w:rsidRDefault="008A7D2E" w:rsidP="009F0FD2">
            <w:pPr>
              <w:rPr>
                <w:rFonts w:ascii="Arial" w:hAnsi="Arial" w:cs="Arial"/>
                <w:highlight w:val="yellow"/>
              </w:rPr>
            </w:pPr>
            <w:r w:rsidRPr="00A83755">
              <w:rPr>
                <w:rFonts w:ascii="Arial" w:hAnsi="Arial" w:cs="Arial"/>
              </w:rPr>
              <w:t>ccatcttccccaaggccttc</w:t>
            </w:r>
          </w:p>
        </w:tc>
      </w:tr>
      <w:tr w:rsidR="008A7D2E" w:rsidRPr="00A83755" w:rsidTr="009F0FD2">
        <w:tc>
          <w:tcPr>
            <w:tcW w:w="1002" w:type="dxa"/>
          </w:tcPr>
          <w:p w:rsidR="008A7D2E" w:rsidRPr="00A83755" w:rsidRDefault="008A7D2E" w:rsidP="009F0FD2">
            <w:pPr>
              <w:rPr>
                <w:rFonts w:ascii="Arial" w:hAnsi="Arial" w:cs="Arial"/>
                <w:i/>
              </w:rPr>
            </w:pPr>
            <w:r w:rsidRPr="00A83755">
              <w:rPr>
                <w:rFonts w:ascii="Arial" w:hAnsi="Arial" w:cs="Arial"/>
                <w:i/>
              </w:rPr>
              <w:t>RAP2.2</w:t>
            </w:r>
          </w:p>
        </w:tc>
        <w:tc>
          <w:tcPr>
            <w:tcW w:w="4030" w:type="dxa"/>
          </w:tcPr>
          <w:p w:rsidR="008A7D2E" w:rsidRPr="00A83755" w:rsidRDefault="008A7D2E" w:rsidP="009F0FD2">
            <w:pPr>
              <w:rPr>
                <w:rFonts w:ascii="Arial" w:hAnsi="Arial" w:cs="Arial"/>
              </w:rPr>
            </w:pPr>
            <w:r w:rsidRPr="00A83755">
              <w:rPr>
                <w:rFonts w:ascii="Arial" w:eastAsia="Times New Roman" w:hAnsi="Arial" w:cs="Arial"/>
                <w:lang w:eastAsia="de-DE"/>
              </w:rPr>
              <w:t>cctagcgtcgtatcccagaa</w:t>
            </w:r>
          </w:p>
        </w:tc>
        <w:tc>
          <w:tcPr>
            <w:tcW w:w="4030" w:type="dxa"/>
          </w:tcPr>
          <w:p w:rsidR="008A7D2E" w:rsidRPr="00A83755" w:rsidRDefault="008A7D2E" w:rsidP="009F0FD2">
            <w:pPr>
              <w:rPr>
                <w:rFonts w:ascii="Arial" w:hAnsi="Arial" w:cs="Arial"/>
              </w:rPr>
            </w:pPr>
            <w:r w:rsidRPr="00A83755">
              <w:rPr>
                <w:rFonts w:ascii="Arial" w:eastAsia="Times New Roman" w:hAnsi="Arial" w:cs="Arial"/>
                <w:lang w:eastAsia="de-DE"/>
              </w:rPr>
              <w:t>agggtttgcaccattgtcctgag</w:t>
            </w:r>
          </w:p>
        </w:tc>
      </w:tr>
      <w:tr w:rsidR="008A7D2E" w:rsidRPr="00A83755" w:rsidTr="009F0FD2">
        <w:tc>
          <w:tcPr>
            <w:tcW w:w="1002" w:type="dxa"/>
          </w:tcPr>
          <w:p w:rsidR="008A7D2E" w:rsidRPr="00A83755" w:rsidRDefault="008A7D2E" w:rsidP="009F0FD2">
            <w:pPr>
              <w:rPr>
                <w:rFonts w:ascii="Arial" w:hAnsi="Arial" w:cs="Arial"/>
                <w:i/>
              </w:rPr>
            </w:pPr>
            <w:r w:rsidRPr="00A83755">
              <w:rPr>
                <w:rFonts w:ascii="Arial" w:hAnsi="Arial" w:cs="Arial"/>
                <w:i/>
              </w:rPr>
              <w:t>RAP2.3</w:t>
            </w:r>
          </w:p>
        </w:tc>
        <w:tc>
          <w:tcPr>
            <w:tcW w:w="4030" w:type="dxa"/>
          </w:tcPr>
          <w:p w:rsidR="008A7D2E" w:rsidRPr="00A83755" w:rsidRDefault="008A7D2E" w:rsidP="009F0FD2">
            <w:pPr>
              <w:rPr>
                <w:rFonts w:ascii="Arial" w:hAnsi="Arial" w:cs="Arial"/>
              </w:rPr>
            </w:pPr>
            <w:r w:rsidRPr="00A83755">
              <w:rPr>
                <w:rFonts w:ascii="Arial" w:eastAsia="Times New Roman" w:hAnsi="Arial" w:cs="Arial"/>
                <w:lang w:eastAsia="de-DE"/>
              </w:rPr>
              <w:t>aactcacggctgaggaactctg</w:t>
            </w:r>
          </w:p>
        </w:tc>
        <w:tc>
          <w:tcPr>
            <w:tcW w:w="4030" w:type="dxa"/>
            <w:vAlign w:val="center"/>
          </w:tcPr>
          <w:p w:rsidR="008A7D2E" w:rsidRPr="00A83755" w:rsidRDefault="008A7D2E" w:rsidP="009F0FD2">
            <w:pPr>
              <w:rPr>
                <w:rFonts w:ascii="Arial" w:eastAsia="Times New Roman" w:hAnsi="Arial" w:cs="Arial"/>
                <w:lang w:eastAsia="de-DE"/>
              </w:rPr>
            </w:pPr>
            <w:r w:rsidRPr="00A83755">
              <w:rPr>
                <w:rFonts w:ascii="Arial" w:eastAsia="Times New Roman" w:hAnsi="Arial" w:cs="Arial"/>
                <w:lang w:eastAsia="de-DE"/>
              </w:rPr>
              <w:t>acgttaacttggttggtgggatgg</w:t>
            </w:r>
          </w:p>
        </w:tc>
      </w:tr>
    </w:tbl>
    <w:p w:rsidR="008A7D2E" w:rsidRPr="00A83755" w:rsidRDefault="008A7D2E" w:rsidP="008A7D2E"/>
    <w:p w:rsidR="008A7D2E" w:rsidRPr="00A83755" w:rsidRDefault="008A7D2E" w:rsidP="008A7D2E"/>
    <w:p w:rsidR="008A7D2E" w:rsidRPr="00A83755" w:rsidRDefault="008A7D2E" w:rsidP="008A7D2E"/>
    <w:p w:rsidR="008A7D2E" w:rsidRPr="00A83755" w:rsidRDefault="008A7D2E" w:rsidP="008A7D2E">
      <w:pPr>
        <w:rPr>
          <w:b/>
          <w:sz w:val="32"/>
        </w:rPr>
      </w:pPr>
      <w:r w:rsidRPr="00A83755">
        <w:rPr>
          <w:b/>
          <w:sz w:val="32"/>
        </w:rPr>
        <w:br w:type="page"/>
      </w:r>
    </w:p>
    <w:p w:rsidR="008A7D2E" w:rsidRPr="00A83755" w:rsidRDefault="008A7D2E" w:rsidP="008A7D2E">
      <w:pPr>
        <w:rPr>
          <w:rFonts w:ascii="Arial" w:hAnsi="Arial" w:cs="Arial"/>
          <w:b/>
        </w:rPr>
        <w:sectPr w:rsidR="008A7D2E" w:rsidRPr="00A83755" w:rsidSect="00097493">
          <w:pgSz w:w="11906" w:h="16838"/>
          <w:pgMar w:top="1417" w:right="1417" w:bottom="1134" w:left="1417" w:header="708" w:footer="708" w:gutter="0"/>
          <w:lnNumType w:countBy="1"/>
          <w:cols w:space="708"/>
          <w:docGrid w:linePitch="360"/>
        </w:sectPr>
      </w:pPr>
    </w:p>
    <w:p w:rsidR="008A7D2E" w:rsidRPr="00A83755" w:rsidRDefault="008A7D2E" w:rsidP="008A7D2E">
      <w:pPr>
        <w:rPr>
          <w:rFonts w:ascii="Arial" w:hAnsi="Arial" w:cs="Arial"/>
          <w:b/>
        </w:rPr>
      </w:pPr>
      <w:r w:rsidRPr="00A83755">
        <w:rPr>
          <w:rFonts w:ascii="Arial" w:hAnsi="Arial" w:cs="Arial"/>
          <w:b/>
        </w:rPr>
        <w:lastRenderedPageBreak/>
        <w:t>Supplementary Table S3. Sequences and positions of motifs and oligonucleotides used for ChIP-qPCR analysis.</w:t>
      </w:r>
    </w:p>
    <w:tbl>
      <w:tblPr>
        <w:tblW w:w="5000" w:type="pct"/>
        <w:tblLayout w:type="fixed"/>
        <w:tblLook w:val="04A0" w:firstRow="1" w:lastRow="0" w:firstColumn="1" w:lastColumn="0" w:noHBand="0" w:noVBand="1"/>
      </w:tblPr>
      <w:tblGrid>
        <w:gridCol w:w="1222"/>
        <w:gridCol w:w="1967"/>
        <w:gridCol w:w="1016"/>
        <w:gridCol w:w="2173"/>
        <w:gridCol w:w="2010"/>
        <w:gridCol w:w="3027"/>
        <w:gridCol w:w="2861"/>
      </w:tblGrid>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b/>
                <w:bCs/>
                <w:lang w:eastAsia="en-GB"/>
              </w:rPr>
            </w:pPr>
            <w:r w:rsidRPr="00A83755">
              <w:rPr>
                <w:rFonts w:ascii="Arial" w:eastAsia="Times New Roman" w:hAnsi="Arial" w:cs="Arial"/>
                <w:b/>
                <w:bCs/>
                <w:lang w:eastAsia="en-GB"/>
              </w:rPr>
              <w:t>Promoter</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spacing w:after="0" w:line="240" w:lineRule="auto"/>
              <w:jc w:val="center"/>
              <w:rPr>
                <w:rFonts w:ascii="Arial" w:eastAsia="Times New Roman" w:hAnsi="Arial" w:cs="Arial"/>
                <w:b/>
                <w:bCs/>
                <w:lang w:eastAsia="en-GB"/>
              </w:rPr>
            </w:pPr>
            <w:r w:rsidRPr="00A83755">
              <w:rPr>
                <w:rFonts w:ascii="Arial" w:eastAsia="Times New Roman" w:hAnsi="Arial" w:cs="Arial"/>
                <w:b/>
                <w:bCs/>
                <w:lang w:eastAsia="en-GB"/>
              </w:rPr>
              <w:t>Protein</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b/>
                <w:bCs/>
                <w:lang w:eastAsia="en-GB"/>
              </w:rPr>
            </w:pPr>
            <w:r w:rsidRPr="00A83755">
              <w:rPr>
                <w:rFonts w:ascii="Arial" w:eastAsia="Times New Roman" w:hAnsi="Arial" w:cs="Arial"/>
                <w:b/>
                <w:bCs/>
                <w:lang w:eastAsia="en-GB"/>
              </w:rPr>
              <w:t>Motif</w:t>
            </w:r>
          </w:p>
        </w:tc>
        <w:tc>
          <w:tcPr>
            <w:tcW w:w="761"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b/>
                <w:bCs/>
                <w:lang w:eastAsia="en-GB"/>
              </w:rPr>
            </w:pPr>
            <w:r w:rsidRPr="00A83755">
              <w:rPr>
                <w:rFonts w:ascii="Arial" w:eastAsia="Times New Roman" w:hAnsi="Arial" w:cs="Arial"/>
                <w:b/>
                <w:bCs/>
                <w:lang w:eastAsia="en-GB"/>
              </w:rPr>
              <w:t>Motif sequence 5'→3'</w:t>
            </w:r>
          </w:p>
        </w:tc>
        <w:tc>
          <w:tcPr>
            <w:tcW w:w="704"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b/>
                <w:bCs/>
                <w:lang w:eastAsia="en-GB"/>
              </w:rPr>
            </w:pPr>
            <w:r w:rsidRPr="00A83755">
              <w:rPr>
                <w:rFonts w:ascii="Arial" w:eastAsia="Times New Roman" w:hAnsi="Arial" w:cs="Arial"/>
                <w:b/>
                <w:bCs/>
                <w:lang w:eastAsia="en-GB"/>
              </w:rPr>
              <w:t>Motif position 5'→3'</w:t>
            </w:r>
          </w:p>
        </w:tc>
        <w:tc>
          <w:tcPr>
            <w:tcW w:w="1060"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b/>
                <w:bCs/>
                <w:lang w:eastAsia="en-GB"/>
              </w:rPr>
            </w:pPr>
            <w:r w:rsidRPr="00A83755">
              <w:rPr>
                <w:rFonts w:ascii="Arial" w:eastAsia="Times New Roman" w:hAnsi="Arial" w:cs="Arial"/>
                <w:b/>
                <w:bCs/>
                <w:lang w:eastAsia="en-GB"/>
              </w:rPr>
              <w:t>Forward primer 5'→3'</w:t>
            </w:r>
          </w:p>
        </w:tc>
        <w:tc>
          <w:tcPr>
            <w:tcW w:w="1002"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b/>
                <w:bCs/>
                <w:lang w:eastAsia="en-GB"/>
              </w:rPr>
            </w:pPr>
            <w:r w:rsidRPr="00A83755">
              <w:rPr>
                <w:rFonts w:ascii="Arial" w:eastAsia="Times New Roman" w:hAnsi="Arial" w:cs="Arial"/>
                <w:b/>
                <w:bCs/>
                <w:lang w:eastAsia="en-GB"/>
              </w:rPr>
              <w:t>Reverse primer 5'→3'</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PDC1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R1</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GCAGATGGTTTT</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-685 till - 674</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aagaagcaaaccccaaaacc</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gccatttgcatttggtcag</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PDC1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R2</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GGGAGAGGTTTT</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-125 till - 114</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gaatgtttgggtcaaatctcaa</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aacaaaatgagaatgggagagg</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R1</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GCCGACGCTTTC</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-898 till - 887</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sz w:val="20"/>
                <w:szCs w:val="20"/>
                <w:lang w:eastAsia="en-GB"/>
              </w:rPr>
            </w:pPr>
            <w:r w:rsidRPr="00A83755">
              <w:rPr>
                <w:rFonts w:ascii="Arial" w:eastAsia="Times New Roman" w:hAnsi="Arial" w:cs="Arial"/>
                <w:sz w:val="20"/>
                <w:szCs w:val="20"/>
                <w:lang w:eastAsia="en-GB"/>
              </w:rPr>
              <w:t>aaagcgtcggctaacagaga</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sz w:val="20"/>
                <w:szCs w:val="20"/>
                <w:lang w:eastAsia="en-GB"/>
              </w:rPr>
            </w:pPr>
            <w:r w:rsidRPr="00A83755">
              <w:rPr>
                <w:rFonts w:ascii="Arial" w:eastAsia="Times New Roman" w:hAnsi="Arial" w:cs="Arial"/>
                <w:sz w:val="20"/>
                <w:szCs w:val="20"/>
                <w:lang w:eastAsia="en-GB"/>
              </w:rPr>
              <w:t>tccggtttttgatcttttcttc</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R2</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GCTCCTGGTTTT</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-748 till - 736</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tttccagaaaaccaggagcta</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tgggatttgagtcatttgagg</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R3</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GCCGCTGTTTTT</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-349 till - 338</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cattggatagagtggggacaa</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ccctgattcaaggttttgct</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SAD6</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R1</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none</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none</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tggcattctcgtgtacaaagtc</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tgtgatcttgctgttcaattgtt</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SAD6</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R2</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CCCCACGGTTTG</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-153 till - 142</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cccacagaatctcaaaccag</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tggttggctgttgttcgtta</w:t>
            </w:r>
          </w:p>
        </w:tc>
      </w:tr>
      <w:tr w:rsidR="008A7D2E" w:rsidRPr="00A83755" w:rsidTr="009F0FD2">
        <w:trPr>
          <w:trHeight w:val="367"/>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UBI10</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nil"/>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R1</w:t>
            </w:r>
          </w:p>
        </w:tc>
        <w:tc>
          <w:tcPr>
            <w:tcW w:w="761"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none</w:t>
            </w:r>
          </w:p>
        </w:tc>
        <w:tc>
          <w:tcPr>
            <w:tcW w:w="704"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none</w:t>
            </w:r>
          </w:p>
        </w:tc>
        <w:tc>
          <w:tcPr>
            <w:tcW w:w="1060"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aaccactttgacgccgttta</w:t>
            </w:r>
          </w:p>
        </w:tc>
        <w:tc>
          <w:tcPr>
            <w:tcW w:w="1002" w:type="pct"/>
            <w:tcBorders>
              <w:top w:val="nil"/>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acggctggatcttatgacga</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LBD16*</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i/>
                <w:lang w:eastAsia="en-GB"/>
              </w:rPr>
              <w:t>At</w:t>
            </w:r>
            <w:r w:rsidRPr="00A83755">
              <w:rPr>
                <w:rFonts w:ascii="Arial" w:eastAsia="Times New Roman" w:hAnsi="Arial" w:cs="Arial"/>
                <w:lang w:eastAsia="en-GB"/>
              </w:rPr>
              <w:t>MED25-GFP</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R1</w:t>
            </w:r>
          </w:p>
        </w:tc>
        <w:tc>
          <w:tcPr>
            <w:tcW w:w="761"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TGTCTC</w:t>
            </w:r>
          </w:p>
        </w:tc>
        <w:tc>
          <w:tcPr>
            <w:tcW w:w="704"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-989 till - 984</w:t>
            </w:r>
          </w:p>
        </w:tc>
        <w:tc>
          <w:tcPr>
            <w:tcW w:w="1060"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cccaataaattagaagtctcatgttgc</w:t>
            </w:r>
          </w:p>
        </w:tc>
        <w:tc>
          <w:tcPr>
            <w:tcW w:w="1002" w:type="pct"/>
            <w:tcBorders>
              <w:top w:val="single" w:sz="4" w:space="0" w:color="auto"/>
              <w:left w:val="nil"/>
              <w:bottom w:val="single" w:sz="4" w:space="0" w:color="auto"/>
              <w:right w:val="single" w:sz="4" w:space="0" w:color="auto"/>
            </w:tcBorders>
            <w:shd w:val="clear" w:color="auto" w:fill="auto"/>
            <w:noWrap/>
            <w:vAlign w:val="bottom"/>
            <w:hideMark/>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caaatttatcgagtgagccaaagg</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PDC1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rPr>
                <w:rFonts w:ascii="Arial" w:eastAsia="Times New Roman" w:hAnsi="Arial" w:cs="Arial"/>
                <w:lang w:eastAsia="en-GB"/>
              </w:rP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up500</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accccaaaaccatctgcatct</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caagagacgtgatgccatttg</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PDC1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TSS</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tcacacacatacacaaacttgaca</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gtcggcttgcaatcatcgatc</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PDC1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stall</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gatgattgcaagccgacgaac</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gatggtgatagcggaggaagg</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PDC1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mid</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tcaatactctgtttctgcgaga</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ccgcagcttctaaacccatct</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PDC1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end</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agaggagttagtggaggcgat</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gccccactcaagcaactct</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i/>
                <w:iCs/>
                <w:lang w:eastAsia="en-GB"/>
              </w:rPr>
            </w:pPr>
            <w:r w:rsidRPr="00A83755">
              <w:rPr>
                <w:rFonts w:ascii="Arial" w:eastAsia="Times New Roman" w:hAnsi="Arial" w:cs="Arial"/>
                <w:i/>
                <w:iCs/>
                <w:lang w:eastAsia="en-GB"/>
              </w:rPr>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up500</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gtgctacaaaatgggtctcaca</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tccagacaaccaaaactcagct</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i/>
                <w:iCs/>
                <w:lang w:eastAsia="en-GB"/>
              </w:rPr>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TSS</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atgacacgcgcattggataga</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gcttcttgtgtttcttcccca</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i/>
                <w:iCs/>
                <w:lang w:eastAsia="en-GB"/>
              </w:rPr>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stall</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tcggaaagggtgtagtgagga</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ttcaggcgatttgatccaagc</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i/>
                <w:iCs/>
                <w:lang w:eastAsia="en-GB"/>
              </w:rPr>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mid</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gtggaggctgtgatgaaagga</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cgtagatcttaagaggcggacc</w:t>
            </w:r>
          </w:p>
        </w:tc>
      </w:tr>
      <w:tr w:rsidR="008A7D2E" w:rsidRPr="00A83755" w:rsidTr="009F0FD2">
        <w:trPr>
          <w:trHeight w:val="367"/>
        </w:trPr>
        <w:tc>
          <w:tcPr>
            <w:tcW w:w="428" w:type="pct"/>
            <w:tcBorders>
              <w:top w:val="single" w:sz="4" w:space="0" w:color="auto"/>
              <w:left w:val="single" w:sz="4" w:space="0" w:color="auto"/>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i/>
                <w:iCs/>
                <w:lang w:eastAsia="en-GB"/>
              </w:rPr>
              <w:lastRenderedPageBreak/>
              <w:t>LBD41</w:t>
            </w:r>
          </w:p>
        </w:tc>
        <w:tc>
          <w:tcPr>
            <w:tcW w:w="689" w:type="pct"/>
            <w:tcBorders>
              <w:top w:val="single" w:sz="4" w:space="0" w:color="auto"/>
              <w:left w:val="nil"/>
              <w:bottom w:val="single" w:sz="4" w:space="0" w:color="auto"/>
              <w:right w:val="single" w:sz="4" w:space="0" w:color="auto"/>
            </w:tcBorders>
          </w:tcPr>
          <w:p w:rsidR="008A7D2E" w:rsidRPr="00A83755" w:rsidRDefault="008A7D2E" w:rsidP="009F0FD2">
            <w:pPr>
              <w:jc w:val="center"/>
            </w:pPr>
            <w:r w:rsidRPr="00A83755">
              <w:rPr>
                <w:rFonts w:ascii="Arial" w:eastAsia="Times New Roman" w:hAnsi="Arial" w:cs="Arial"/>
                <w:lang w:eastAsia="en-GB"/>
              </w:rPr>
              <w:t>RNAPII</w:t>
            </w:r>
          </w:p>
        </w:tc>
        <w:tc>
          <w:tcPr>
            <w:tcW w:w="356" w:type="pct"/>
            <w:tcBorders>
              <w:top w:val="single" w:sz="4" w:space="0" w:color="auto"/>
              <w:left w:val="single" w:sz="4" w:space="0" w:color="auto"/>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end</w:t>
            </w:r>
          </w:p>
        </w:tc>
        <w:tc>
          <w:tcPr>
            <w:tcW w:w="761"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704" w:type="pct"/>
            <w:tcBorders>
              <w:top w:val="single" w:sz="4" w:space="0" w:color="auto"/>
              <w:left w:val="nil"/>
              <w:bottom w:val="single" w:sz="4" w:space="0" w:color="auto"/>
              <w:right w:val="single" w:sz="4" w:space="0" w:color="auto"/>
            </w:tcBorders>
            <w:shd w:val="clear" w:color="auto" w:fill="auto"/>
            <w:noWrap/>
          </w:tcPr>
          <w:p w:rsidR="008A7D2E" w:rsidRPr="00A83755" w:rsidRDefault="008A7D2E" w:rsidP="009F0FD2">
            <w:pPr>
              <w:jc w:val="center"/>
            </w:pPr>
            <w:r w:rsidRPr="00A83755">
              <w:rPr>
                <w:rFonts w:ascii="Arial" w:eastAsia="Times New Roman" w:hAnsi="Arial" w:cs="Arial"/>
                <w:lang w:eastAsia="en-GB"/>
              </w:rPr>
              <w:t>none</w:t>
            </w:r>
          </w:p>
        </w:tc>
        <w:tc>
          <w:tcPr>
            <w:tcW w:w="1060"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agagcacgtgtaagactgagc</w:t>
            </w:r>
          </w:p>
        </w:tc>
        <w:tc>
          <w:tcPr>
            <w:tcW w:w="1002" w:type="pct"/>
            <w:tcBorders>
              <w:top w:val="single" w:sz="4" w:space="0" w:color="auto"/>
              <w:left w:val="nil"/>
              <w:bottom w:val="single" w:sz="4" w:space="0" w:color="auto"/>
              <w:right w:val="single" w:sz="4" w:space="0" w:color="auto"/>
            </w:tcBorders>
            <w:shd w:val="clear" w:color="auto" w:fill="auto"/>
            <w:noWrap/>
            <w:vAlign w:val="bottom"/>
          </w:tcPr>
          <w:p w:rsidR="008A7D2E" w:rsidRPr="00A83755" w:rsidRDefault="008A7D2E" w:rsidP="009F0FD2">
            <w:pPr>
              <w:spacing w:after="0" w:line="240" w:lineRule="auto"/>
              <w:jc w:val="center"/>
              <w:rPr>
                <w:rFonts w:ascii="Arial" w:eastAsia="Times New Roman" w:hAnsi="Arial" w:cs="Arial"/>
                <w:lang w:eastAsia="en-GB"/>
              </w:rPr>
            </w:pPr>
            <w:r w:rsidRPr="00A83755">
              <w:rPr>
                <w:rFonts w:ascii="Arial" w:eastAsia="Times New Roman" w:hAnsi="Arial" w:cs="Arial"/>
                <w:lang w:eastAsia="en-GB"/>
              </w:rPr>
              <w:t>agttaccggctcgacttgaag</w:t>
            </w:r>
          </w:p>
        </w:tc>
      </w:tr>
    </w:tbl>
    <w:p w:rsidR="008A7D2E" w:rsidRPr="00A83755" w:rsidRDefault="008A7D2E" w:rsidP="008A7D2E">
      <w:pPr>
        <w:rPr>
          <w:rFonts w:ascii="Arial" w:hAnsi="Arial" w:cs="Arial"/>
        </w:rPr>
      </w:pPr>
      <w:r w:rsidRPr="00A83755">
        <w:rPr>
          <w:rFonts w:ascii="Arial" w:hAnsi="Arial" w:cs="Arial"/>
        </w:rPr>
        <w:t>* Ito et al., 2016</w:t>
      </w: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pPr>
    </w:p>
    <w:p w:rsidR="008A7D2E" w:rsidRPr="00A83755" w:rsidRDefault="008A7D2E" w:rsidP="008A7D2E">
      <w:pPr>
        <w:rPr>
          <w:rFonts w:ascii="Arial" w:hAnsi="Arial" w:cs="Arial"/>
        </w:rPr>
        <w:sectPr w:rsidR="008A7D2E" w:rsidRPr="00A83755" w:rsidSect="00534E9E">
          <w:pgSz w:w="16838" w:h="11906" w:orient="landscape"/>
          <w:pgMar w:top="1418" w:right="1134" w:bottom="1418" w:left="1418" w:header="709" w:footer="709" w:gutter="0"/>
          <w:lnNumType w:countBy="1"/>
          <w:cols w:space="708"/>
          <w:docGrid w:linePitch="360"/>
        </w:sectPr>
      </w:pPr>
    </w:p>
    <w:p w:rsidR="008A7D2E" w:rsidRPr="00A83755" w:rsidRDefault="008A7D2E" w:rsidP="008A7D2E">
      <w:pPr>
        <w:spacing w:line="360" w:lineRule="auto"/>
        <w:jc w:val="both"/>
        <w:rPr>
          <w:b/>
          <w:sz w:val="32"/>
        </w:rPr>
      </w:pPr>
    </w:p>
    <w:p w:rsidR="00440897" w:rsidRDefault="00440897">
      <w:bookmarkStart w:id="0" w:name="_GoBack"/>
      <w:bookmarkEnd w:id="0"/>
    </w:p>
    <w:sectPr w:rsidR="00440897" w:rsidSect="00097493">
      <w:pgSz w:w="11906" w:h="16838"/>
      <w:pgMar w:top="1417" w:right="1417" w:bottom="1134" w:left="1417" w:header="708" w:footer="708" w:gutter="0"/>
      <w:lnNumType w:countBy="1"/>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25181868"/>
      <w:docPartObj>
        <w:docPartGallery w:val="Page Numbers (Bottom of Page)"/>
        <w:docPartUnique/>
      </w:docPartObj>
    </w:sdtPr>
    <w:sdtEndPr>
      <w:rPr>
        <w:rFonts w:ascii="Arial" w:hAnsi="Arial" w:cs="Arial"/>
        <w:sz w:val="20"/>
      </w:rPr>
    </w:sdtEndPr>
    <w:sdtContent>
      <w:p w:rsidR="00F254F9" w:rsidRPr="00497915" w:rsidRDefault="008A7D2E">
        <w:pPr>
          <w:pStyle w:val="Footer"/>
          <w:jc w:val="right"/>
          <w:rPr>
            <w:rFonts w:ascii="Arial" w:hAnsi="Arial" w:cs="Arial"/>
            <w:sz w:val="20"/>
          </w:rPr>
        </w:pPr>
        <w:r w:rsidRPr="00497915">
          <w:rPr>
            <w:rFonts w:ascii="Arial" w:hAnsi="Arial" w:cs="Arial"/>
            <w:sz w:val="20"/>
          </w:rPr>
          <w:fldChar w:fldCharType="begin"/>
        </w:r>
        <w:r w:rsidRPr="00497915">
          <w:rPr>
            <w:rFonts w:ascii="Arial" w:hAnsi="Arial" w:cs="Arial"/>
            <w:sz w:val="20"/>
          </w:rPr>
          <w:instrText>PAGE   \* MERGEFORMAT</w:instrText>
        </w:r>
        <w:r w:rsidRPr="00497915">
          <w:rPr>
            <w:rFonts w:ascii="Arial" w:hAnsi="Arial" w:cs="Arial"/>
            <w:sz w:val="20"/>
          </w:rPr>
          <w:fldChar w:fldCharType="separate"/>
        </w:r>
        <w:r w:rsidRPr="008A7D2E">
          <w:rPr>
            <w:rFonts w:ascii="Arial" w:hAnsi="Arial" w:cs="Arial"/>
            <w:noProof/>
            <w:sz w:val="20"/>
            <w:lang w:val="en-US"/>
          </w:rPr>
          <w:t>16</w:t>
        </w:r>
        <w:r w:rsidRPr="00497915">
          <w:rPr>
            <w:rFonts w:ascii="Arial" w:hAnsi="Arial" w:cs="Arial"/>
            <w:sz w:val="20"/>
          </w:rPr>
          <w:fldChar w:fldCharType="end"/>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14FE"/>
    <w:rsid w:val="00440897"/>
    <w:rsid w:val="008A7D2E"/>
    <w:rsid w:val="00C014FE"/>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537FC5-614F-4C60-A399-8B2F85880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A7D2E"/>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8A7D2E"/>
    <w:pPr>
      <w:tabs>
        <w:tab w:val="center" w:pos="4536"/>
        <w:tab w:val="right" w:pos="9072"/>
      </w:tabs>
      <w:spacing w:after="0" w:line="240" w:lineRule="auto"/>
    </w:pPr>
  </w:style>
  <w:style w:type="character" w:customStyle="1" w:styleId="FooterChar">
    <w:name w:val="Footer Char"/>
    <w:basedOn w:val="DefaultParagraphFont"/>
    <w:link w:val="Footer"/>
    <w:uiPriority w:val="99"/>
    <w:rsid w:val="008A7D2E"/>
    <w:rPr>
      <w:lang w:val="en-GB"/>
    </w:rPr>
  </w:style>
  <w:style w:type="table" w:styleId="TableGrid">
    <w:name w:val="Table Grid"/>
    <w:basedOn w:val="TableNormal"/>
    <w:uiPriority w:val="39"/>
    <w:rsid w:val="008A7D2E"/>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
    <w:rsid w:val="008A7D2E"/>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LineNumber">
    <w:name w:val="line number"/>
    <w:basedOn w:val="DefaultParagraphFont"/>
    <w:uiPriority w:val="99"/>
    <w:semiHidden/>
    <w:unhideWhenUsed/>
    <w:rsid w:val="008A7D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1913</Words>
  <Characters>10907</Characters>
  <Application>Microsoft Office Word</Application>
  <DocSecurity>0</DocSecurity>
  <Lines>90</Lines>
  <Paragraphs>25</Paragraphs>
  <ScaleCrop>false</ScaleCrop>
  <Company/>
  <LinksUpToDate>false</LinksUpToDate>
  <CharactersWithSpaces>12795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Hema Vishali K Kumaresan</dc:creator>
  <cp:keywords/>
  <dc:description/>
  <cp:lastModifiedBy>Hema Vishali K Kumaresan</cp:lastModifiedBy>
  <cp:revision>2</cp:revision>
  <dcterms:created xsi:type="dcterms:W3CDTF">2024-08-29T07:34:00Z</dcterms:created>
  <dcterms:modified xsi:type="dcterms:W3CDTF">2024-08-29T07:34:00Z</dcterms:modified>
</cp:coreProperties>
</file>