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FA5E0" w14:textId="5E991603" w:rsidR="00EC413C" w:rsidRPr="00E9244F" w:rsidRDefault="00EC413C" w:rsidP="00E9244F">
      <w:pPr>
        <w:jc w:val="center"/>
        <w:rPr>
          <w:b/>
          <w:bCs/>
          <w:sz w:val="32"/>
          <w:szCs w:val="32"/>
          <w:lang w:val="en-US"/>
        </w:rPr>
      </w:pPr>
      <w:r w:rsidRPr="00E9244F">
        <w:rPr>
          <w:b/>
          <w:bCs/>
          <w:sz w:val="32"/>
          <w:szCs w:val="32"/>
          <w:lang w:val="en-US"/>
        </w:rPr>
        <w:t>SUPPLEMENTARY FIGURE LEGENDS</w:t>
      </w:r>
    </w:p>
    <w:p w14:paraId="3165FA28" w14:textId="77777777" w:rsidR="00EC413C" w:rsidRDefault="00EC413C" w:rsidP="006C673B">
      <w:pPr>
        <w:rPr>
          <w:b/>
          <w:bCs/>
          <w:lang w:val="en-US"/>
        </w:rPr>
      </w:pPr>
    </w:p>
    <w:p w14:paraId="59D1BC3D" w14:textId="375CD9A7" w:rsidR="00574A42" w:rsidRDefault="006C673B" w:rsidP="00EC413C">
      <w:pPr>
        <w:spacing w:line="360" w:lineRule="auto"/>
        <w:rPr>
          <w:color w:val="1C1D1E"/>
          <w:shd w:val="clear" w:color="auto" w:fill="FFFFFF"/>
          <w:lang w:val="en-US"/>
        </w:rPr>
      </w:pPr>
      <w:r>
        <w:rPr>
          <w:b/>
          <w:bCs/>
          <w:lang w:val="en-US"/>
        </w:rPr>
        <w:t xml:space="preserve">Supplementary </w:t>
      </w:r>
      <w:r w:rsidRPr="006C673B">
        <w:rPr>
          <w:b/>
          <w:bCs/>
          <w:lang w:val="en-US"/>
        </w:rPr>
        <w:t>Figure 1.</w:t>
      </w:r>
      <w:r w:rsidRPr="006C673B">
        <w:rPr>
          <w:b/>
          <w:lang w:val="en-US"/>
        </w:rPr>
        <w:t xml:space="preserve"> </w:t>
      </w:r>
      <w:r w:rsidR="00001A6C" w:rsidRPr="00631B24">
        <w:rPr>
          <w:color w:val="1C1D1E"/>
          <w:shd w:val="clear" w:color="auto" w:fill="FFFFFF"/>
          <w:lang w:val="en-US"/>
        </w:rPr>
        <w:t>Soluble ACE2 (sACE2) activity in sera from (</w:t>
      </w:r>
      <w:r w:rsidR="00631B24" w:rsidRPr="00631B24">
        <w:rPr>
          <w:color w:val="1C1D1E"/>
          <w:shd w:val="clear" w:color="auto" w:fill="FFFFFF"/>
          <w:lang w:val="en-US"/>
        </w:rPr>
        <w:t>A</w:t>
      </w:r>
      <w:r w:rsidR="00001A6C" w:rsidRPr="00631B24">
        <w:rPr>
          <w:color w:val="1C1D1E"/>
          <w:shd w:val="clear" w:color="auto" w:fill="FFFFFF"/>
          <w:lang w:val="en-US"/>
        </w:rPr>
        <w:t>) 1208 and (</w:t>
      </w:r>
      <w:r w:rsidR="00631B24" w:rsidRPr="00631B24">
        <w:rPr>
          <w:color w:val="1C1D1E"/>
          <w:shd w:val="clear" w:color="auto" w:fill="FFFFFF"/>
          <w:lang w:val="en-US"/>
        </w:rPr>
        <w:t>B</w:t>
      </w:r>
      <w:r w:rsidR="00001A6C" w:rsidRPr="00631B24">
        <w:rPr>
          <w:color w:val="1C1D1E"/>
          <w:shd w:val="clear" w:color="auto" w:fill="FFFFFF"/>
          <w:lang w:val="en-US"/>
        </w:rPr>
        <w:t>) 1192 participants 3 months after SARS-CoV-2 exposure</w:t>
      </w:r>
      <w:r w:rsidR="00001A6C" w:rsidRPr="00631B24">
        <w:rPr>
          <w:lang w:val="en-US"/>
        </w:rPr>
        <w:t xml:space="preserve"> </w:t>
      </w:r>
      <w:r w:rsidR="00001A6C" w:rsidRPr="00631B24">
        <w:rPr>
          <w:color w:val="1C1D1E"/>
          <w:shd w:val="clear" w:color="auto" w:fill="FFFFFF"/>
          <w:lang w:val="en-US"/>
        </w:rPr>
        <w:t xml:space="preserve">stratified by chronic precondition. The corresponding ICD-10 codes for each disease group are shown in parentheses and diseases affecting &lt;10 participants were combined into the group </w:t>
      </w:r>
      <w:r w:rsidR="0027028A" w:rsidRPr="00631B24">
        <w:rPr>
          <w:color w:val="1C1D1E"/>
          <w:shd w:val="clear" w:color="auto" w:fill="FFFFFF"/>
          <w:lang w:val="en-US"/>
        </w:rPr>
        <w:t>any other chronic disease</w:t>
      </w:r>
      <w:r w:rsidR="00001A6C" w:rsidRPr="00631B24">
        <w:rPr>
          <w:color w:val="1C1D1E"/>
          <w:shd w:val="clear" w:color="auto" w:fill="FFFFFF"/>
          <w:lang w:val="en-US"/>
        </w:rPr>
        <w:t xml:space="preserve">. </w:t>
      </w:r>
      <w:r w:rsidR="00001A6C" w:rsidRPr="00631B24">
        <w:rPr>
          <w:lang w:val="en-US"/>
        </w:rPr>
        <w:t>Participants with diabetes mellitus (n=14) or chronic kidney disease (CKD, n=2) had higher sACE2 activity than healthy participants and were therefore excluded in (</w:t>
      </w:r>
      <w:r w:rsidR="00631B24" w:rsidRPr="00631B24">
        <w:rPr>
          <w:lang w:val="en-US"/>
        </w:rPr>
        <w:t>B</w:t>
      </w:r>
      <w:r w:rsidR="00001A6C" w:rsidRPr="00631B24">
        <w:rPr>
          <w:lang w:val="en-US"/>
        </w:rPr>
        <w:t>)</w:t>
      </w:r>
      <w:r w:rsidR="00001A6C" w:rsidRPr="00631B24">
        <w:rPr>
          <w:color w:val="1C1D1E"/>
          <w:shd w:val="clear" w:color="auto" w:fill="FFFFFF"/>
          <w:lang w:val="en-US"/>
        </w:rPr>
        <w:t xml:space="preserve">. Mean and 1 </w:t>
      </w:r>
      <w:r w:rsidR="00001A6C" w:rsidRPr="00631B24">
        <w:rPr>
          <w:lang w:val="en-US"/>
        </w:rPr>
        <w:t xml:space="preserve">± times </w:t>
      </w:r>
      <w:r w:rsidR="00001A6C" w:rsidRPr="00631B24">
        <w:rPr>
          <w:color w:val="1C1D1E"/>
          <w:shd w:val="clear" w:color="auto" w:fill="FFFFFF"/>
          <w:lang w:val="en-US"/>
        </w:rPr>
        <w:t>standard deviation</w:t>
      </w:r>
      <w:r w:rsidR="0027028A" w:rsidRPr="00631B24">
        <w:rPr>
          <w:color w:val="1C1D1E"/>
          <w:shd w:val="clear" w:color="auto" w:fill="FFFFFF"/>
          <w:lang w:val="en-US"/>
        </w:rPr>
        <w:t>s</w:t>
      </w:r>
      <w:r w:rsidR="00001A6C" w:rsidRPr="00631B24">
        <w:rPr>
          <w:color w:val="1C1D1E"/>
          <w:shd w:val="clear" w:color="auto" w:fill="FFFFFF"/>
          <w:lang w:val="en-US"/>
        </w:rPr>
        <w:t xml:space="preserve"> are shown in black and individual data for each participant are depicted in gray. </w:t>
      </w:r>
      <w:r w:rsidR="00001A6C" w:rsidRPr="00631B24">
        <w:rPr>
          <w:rStyle w:val="apple-converted-space"/>
          <w:color w:val="1C1D1E"/>
          <w:shd w:val="clear" w:color="auto" w:fill="FFFFFF"/>
          <w:lang w:val="en-US"/>
        </w:rPr>
        <w:t> </w:t>
      </w:r>
      <w:r w:rsidR="00001A6C" w:rsidRPr="00631B24">
        <w:rPr>
          <w:i/>
          <w:iCs/>
          <w:color w:val="1C1D1E"/>
          <w:lang w:val="en-US"/>
        </w:rPr>
        <w:t>p</w:t>
      </w:r>
      <w:r w:rsidR="00001A6C" w:rsidRPr="00631B24">
        <w:rPr>
          <w:color w:val="1C1D1E"/>
          <w:shd w:val="clear" w:color="auto" w:fill="FFFFFF"/>
          <w:lang w:val="en-US"/>
        </w:rPr>
        <w:t xml:space="preserve"> values were calculated using a </w:t>
      </w:r>
      <w:r w:rsidR="00001A6C" w:rsidRPr="00631B24">
        <w:rPr>
          <w:lang w:val="en-US"/>
        </w:rPr>
        <w:t xml:space="preserve">one-way ANOVA </w:t>
      </w:r>
      <w:r w:rsidR="00D9445C" w:rsidRPr="00631B24">
        <w:rPr>
          <w:lang w:val="en-US"/>
        </w:rPr>
        <w:t>(</w:t>
      </w:r>
      <w:r w:rsidR="00631B24" w:rsidRPr="00631B24">
        <w:rPr>
          <w:lang w:val="en-US"/>
        </w:rPr>
        <w:t>A</w:t>
      </w:r>
      <w:r w:rsidR="00D9445C" w:rsidRPr="00631B24">
        <w:rPr>
          <w:lang w:val="en-US"/>
        </w:rPr>
        <w:t xml:space="preserve">: </w:t>
      </w:r>
      <w:proofErr w:type="gramStart"/>
      <w:r w:rsidR="00D9445C" w:rsidRPr="00631B24">
        <w:rPr>
          <w:lang w:val="en-US"/>
        </w:rPr>
        <w:t>F[</w:t>
      </w:r>
      <w:proofErr w:type="gramEnd"/>
      <w:r w:rsidR="00D9445C" w:rsidRPr="00631B24">
        <w:rPr>
          <w:lang w:val="en-US"/>
        </w:rPr>
        <w:t xml:space="preserve">11, 1570] = 3.31, </w:t>
      </w:r>
      <w:r w:rsidR="00D9445C" w:rsidRPr="00631B24">
        <w:rPr>
          <w:i/>
          <w:lang w:val="en-US"/>
        </w:rPr>
        <w:t>p</w:t>
      </w:r>
      <w:r w:rsidR="00BC29DF" w:rsidRPr="00631B24">
        <w:rPr>
          <w:i/>
          <w:lang w:val="en-US"/>
        </w:rPr>
        <w:t xml:space="preserve"> </w:t>
      </w:r>
      <w:r w:rsidR="00D9445C" w:rsidRPr="00631B24">
        <w:rPr>
          <w:lang w:val="en-US"/>
        </w:rPr>
        <w:t>=</w:t>
      </w:r>
      <w:r w:rsidR="00BC29DF" w:rsidRPr="00631B24">
        <w:rPr>
          <w:lang w:val="en-US"/>
        </w:rPr>
        <w:t xml:space="preserve"> </w:t>
      </w:r>
      <w:r w:rsidR="00D9445C" w:rsidRPr="00631B24">
        <w:rPr>
          <w:lang w:val="en-US"/>
        </w:rPr>
        <w:t xml:space="preserve">0.0002; </w:t>
      </w:r>
      <w:r w:rsidR="00631B24" w:rsidRPr="00631B24">
        <w:rPr>
          <w:lang w:val="en-US"/>
        </w:rPr>
        <w:t>B</w:t>
      </w:r>
      <w:r w:rsidR="00D9445C" w:rsidRPr="00631B24">
        <w:rPr>
          <w:lang w:val="en-US"/>
        </w:rPr>
        <w:t xml:space="preserve">: F[10, 1528] = 1.13, </w:t>
      </w:r>
      <w:r w:rsidR="00D9445C" w:rsidRPr="00631B24">
        <w:rPr>
          <w:i/>
          <w:lang w:val="en-US"/>
        </w:rPr>
        <w:t>p</w:t>
      </w:r>
      <w:r w:rsidR="00BC29DF" w:rsidRPr="00631B24">
        <w:rPr>
          <w:i/>
          <w:lang w:val="en-US"/>
        </w:rPr>
        <w:t xml:space="preserve"> </w:t>
      </w:r>
      <w:r w:rsidR="00D9445C" w:rsidRPr="00631B24">
        <w:rPr>
          <w:lang w:val="en-US"/>
        </w:rPr>
        <w:t>=</w:t>
      </w:r>
      <w:r w:rsidR="00BC29DF" w:rsidRPr="00631B24">
        <w:rPr>
          <w:lang w:val="en-US"/>
        </w:rPr>
        <w:t xml:space="preserve"> </w:t>
      </w:r>
      <w:r w:rsidR="00D9445C" w:rsidRPr="00631B24">
        <w:rPr>
          <w:lang w:val="en-US"/>
        </w:rPr>
        <w:t xml:space="preserve">0.33) </w:t>
      </w:r>
      <w:r w:rsidR="00001A6C" w:rsidRPr="00631B24">
        <w:rPr>
          <w:lang w:val="en-US"/>
        </w:rPr>
        <w:t xml:space="preserve">with Dunnett’s correction for </w:t>
      </w:r>
      <w:r w:rsidR="00D25EE3" w:rsidRPr="00631B24">
        <w:rPr>
          <w:lang w:val="en-US"/>
        </w:rPr>
        <w:t>comparing participants with no chronic disease</w:t>
      </w:r>
      <w:r w:rsidR="00D9445C" w:rsidRPr="00631B24">
        <w:rPr>
          <w:lang w:val="en-US"/>
        </w:rPr>
        <w:t xml:space="preserve"> (group 1)</w:t>
      </w:r>
      <w:r w:rsidR="00D25EE3" w:rsidRPr="00631B24">
        <w:rPr>
          <w:lang w:val="en-US"/>
        </w:rPr>
        <w:t xml:space="preserve"> with each disease group</w:t>
      </w:r>
      <w:r w:rsidR="005E2231" w:rsidRPr="00631B24">
        <w:rPr>
          <w:lang w:val="en-US"/>
        </w:rPr>
        <w:t xml:space="preserve">. </w:t>
      </w:r>
      <w:r w:rsidR="00D25EE3" w:rsidRPr="00631B24">
        <w:rPr>
          <w:lang w:val="en-US"/>
        </w:rPr>
        <w:t>O</w:t>
      </w:r>
      <w:r w:rsidR="00001A6C" w:rsidRPr="00631B24">
        <w:rPr>
          <w:color w:val="1C1D1E"/>
          <w:shd w:val="clear" w:color="auto" w:fill="FFFFFF"/>
          <w:lang w:val="en-US"/>
        </w:rPr>
        <w:t>nly p-values &lt; 0.1 are shown.</w:t>
      </w:r>
      <w:r w:rsidR="00D25EE3" w:rsidRPr="00631B24">
        <w:rPr>
          <w:color w:val="1C1D1E"/>
          <w:shd w:val="clear" w:color="auto" w:fill="FFFFFF"/>
          <w:lang w:val="en-US"/>
        </w:rPr>
        <w:t xml:space="preserve"> </w:t>
      </w:r>
    </w:p>
    <w:p w14:paraId="0016A1BB" w14:textId="77777777" w:rsidR="00450FCE" w:rsidRDefault="00450FCE" w:rsidP="00EC413C">
      <w:pPr>
        <w:spacing w:line="360" w:lineRule="auto"/>
        <w:rPr>
          <w:color w:val="1C1D1E"/>
          <w:shd w:val="clear" w:color="auto" w:fill="FFFFFF"/>
          <w:lang w:val="en-US"/>
        </w:rPr>
      </w:pPr>
    </w:p>
    <w:p w14:paraId="7A1CB75C" w14:textId="4D0F0871" w:rsidR="00EC413C" w:rsidRDefault="00450FCE" w:rsidP="00EC413C">
      <w:pPr>
        <w:spacing w:line="360" w:lineRule="auto"/>
        <w:rPr>
          <w:lang w:val="en-US"/>
        </w:rPr>
      </w:pPr>
      <w:r>
        <w:rPr>
          <w:b/>
          <w:bCs/>
          <w:lang w:val="en-US"/>
        </w:rPr>
        <w:t xml:space="preserve">Supplementary Figure 2. </w:t>
      </w:r>
      <w:r w:rsidR="00413279" w:rsidRPr="008C5FAA">
        <w:rPr>
          <w:lang w:val="en-US"/>
        </w:rPr>
        <w:t xml:space="preserve">Distribution of </w:t>
      </w:r>
      <w:r w:rsidR="00784548">
        <w:rPr>
          <w:lang w:val="en-US"/>
        </w:rPr>
        <w:t xml:space="preserve">study </w:t>
      </w:r>
      <w:r w:rsidR="00413279" w:rsidRPr="008C5FAA">
        <w:rPr>
          <w:lang w:val="en-US"/>
        </w:rPr>
        <w:t>participants classified as exposed (light red; n=598) or infected (light green; n=594) based on RT-PCR and/or serology</w:t>
      </w:r>
      <w:r w:rsidR="00413279">
        <w:rPr>
          <w:lang w:val="en-US"/>
        </w:rPr>
        <w:t xml:space="preserve"> (seropositive: positive in at least 2 assays; seronegative: negative in at least 2 assays)</w:t>
      </w:r>
    </w:p>
    <w:p w14:paraId="0AF077C4" w14:textId="462F5698" w:rsidR="00413279" w:rsidRDefault="00413279" w:rsidP="00EC413C">
      <w:pPr>
        <w:spacing w:line="360" w:lineRule="auto"/>
        <w:rPr>
          <w:lang w:val="en-US"/>
        </w:rPr>
      </w:pPr>
    </w:p>
    <w:p w14:paraId="0639ED0D" w14:textId="2E4A81EC" w:rsidR="00A27B4E" w:rsidRDefault="00413279" w:rsidP="00EC413C">
      <w:pPr>
        <w:spacing w:line="360" w:lineRule="auto"/>
        <w:rPr>
          <w:lang w:val="en-US"/>
        </w:rPr>
      </w:pPr>
      <w:r w:rsidRPr="008C5FAA">
        <w:rPr>
          <w:b/>
          <w:bCs/>
          <w:lang w:val="en-US"/>
        </w:rPr>
        <w:t>Supplementary Figure 3.</w:t>
      </w:r>
      <w:r w:rsidR="009D2DA8">
        <w:rPr>
          <w:b/>
          <w:bCs/>
          <w:lang w:val="en-US"/>
        </w:rPr>
        <w:t xml:space="preserve"> </w:t>
      </w:r>
      <w:r w:rsidR="00B47069" w:rsidRPr="008C5FAA">
        <w:rPr>
          <w:lang w:val="en-US"/>
        </w:rPr>
        <w:t>(A, C, E)</w:t>
      </w:r>
      <w:r w:rsidR="00B47069">
        <w:rPr>
          <w:b/>
          <w:bCs/>
          <w:lang w:val="en-US"/>
        </w:rPr>
        <w:t xml:space="preserve"> </w:t>
      </w:r>
      <w:r w:rsidR="009D2DA8" w:rsidRPr="008C5FAA">
        <w:rPr>
          <w:lang w:val="en-US"/>
        </w:rPr>
        <w:t xml:space="preserve">Distribution of </w:t>
      </w:r>
      <w:r w:rsidR="00B47069">
        <w:rPr>
          <w:lang w:val="en-US"/>
        </w:rPr>
        <w:t xml:space="preserve">anti-SARS-CoV-2 </w:t>
      </w:r>
      <w:r w:rsidR="009D2DA8" w:rsidRPr="008C5FAA">
        <w:rPr>
          <w:lang w:val="en-US"/>
        </w:rPr>
        <w:t xml:space="preserve">antibody </w:t>
      </w:r>
      <w:r w:rsidR="00B47069">
        <w:rPr>
          <w:lang w:val="en-US"/>
        </w:rPr>
        <w:t>responses</w:t>
      </w:r>
      <w:r w:rsidR="009D2DA8" w:rsidRPr="008C5FAA">
        <w:rPr>
          <w:lang w:val="en-US"/>
        </w:rPr>
        <w:t xml:space="preserve"> </w:t>
      </w:r>
      <w:r w:rsidR="008F2666">
        <w:rPr>
          <w:lang w:val="en-US"/>
        </w:rPr>
        <w:t xml:space="preserve">in sera from </w:t>
      </w:r>
      <w:r w:rsidR="009D2DA8">
        <w:rPr>
          <w:lang w:val="en-US"/>
        </w:rPr>
        <w:t xml:space="preserve">773 </w:t>
      </w:r>
      <w:r w:rsidR="009D2DA8" w:rsidRPr="008C5FAA">
        <w:rPr>
          <w:lang w:val="en-US"/>
        </w:rPr>
        <w:t>participants without (w/o) positive RT-PCR</w:t>
      </w:r>
      <w:r w:rsidR="009D2DA8">
        <w:rPr>
          <w:lang w:val="en-US"/>
        </w:rPr>
        <w:t xml:space="preserve"> </w:t>
      </w:r>
      <w:r w:rsidR="00B47069">
        <w:rPr>
          <w:lang w:val="en-US"/>
        </w:rPr>
        <w:t>and (B, D, F) frequency of anti-SARS-CoV-2 levels measured in 598 participants classified as seronegative (non-infected). Antibody responses were determined against (A, B) anti-N pan-Ig, (C, D) anti-S1-RBD IgG and (E, F) anti-S1 IgG</w:t>
      </w:r>
      <w:r w:rsidR="00A27B4E">
        <w:rPr>
          <w:lang w:val="en-US"/>
        </w:rPr>
        <w:t xml:space="preserve">. Dashed lines indicate cutoffs for positivity </w:t>
      </w:r>
      <w:r w:rsidR="00A27B4E" w:rsidRPr="008C5FAA">
        <w:rPr>
          <w:lang w:val="en-US"/>
        </w:rPr>
        <w:t>as per the manufacturer’s instructions</w:t>
      </w:r>
      <w:r w:rsidR="00A27B4E">
        <w:rPr>
          <w:lang w:val="en-US"/>
        </w:rPr>
        <w:t xml:space="preserve">. </w:t>
      </w:r>
    </w:p>
    <w:p w14:paraId="26F5EED8" w14:textId="5F0DA2B5" w:rsidR="00F96D58" w:rsidRPr="008C5FAA" w:rsidRDefault="00A27B4E" w:rsidP="008C5FAA">
      <w:pPr>
        <w:suppressLineNumbers/>
        <w:spacing w:before="240" w:line="360" w:lineRule="auto"/>
        <w:rPr>
          <w:color w:val="1C1D1E"/>
          <w:shd w:val="clear" w:color="auto" w:fill="FFFFFF"/>
          <w:lang w:val="en-US"/>
        </w:rPr>
      </w:pPr>
      <w:r w:rsidRPr="008C5FAA">
        <w:rPr>
          <w:b/>
          <w:bCs/>
          <w:lang w:val="en-US"/>
        </w:rPr>
        <w:t xml:space="preserve">Supplementary Figure 4. </w:t>
      </w:r>
      <w:r w:rsidR="00784548" w:rsidRPr="00FF59E7">
        <w:rPr>
          <w:color w:val="1C1D1E"/>
          <w:shd w:val="clear" w:color="auto" w:fill="FFFFFF"/>
          <w:lang w:val="en-US"/>
        </w:rPr>
        <w:t>Soluble ACE2 (sACE2) activity in sera from unexposed pre-pandemic controls (</w:t>
      </w:r>
      <w:r w:rsidR="00784548" w:rsidRPr="00FF59E7">
        <w:rPr>
          <w:i/>
          <w:iCs/>
          <w:color w:val="1C1D1E"/>
          <w:lang w:val="en-US"/>
        </w:rPr>
        <w:t>n</w:t>
      </w:r>
      <w:r w:rsidR="00784548" w:rsidRPr="00FF59E7">
        <w:rPr>
          <w:color w:val="1C1D1E"/>
          <w:shd w:val="clear" w:color="auto" w:fill="FFFFFF"/>
          <w:lang w:val="en-US"/>
        </w:rPr>
        <w:t xml:space="preserve"> = 154) and </w:t>
      </w:r>
      <w:r w:rsidR="00784548">
        <w:rPr>
          <w:color w:val="1C1D1E"/>
          <w:shd w:val="clear" w:color="auto" w:fill="FFFFFF"/>
          <w:lang w:val="en-US"/>
        </w:rPr>
        <w:t>participants 3</w:t>
      </w:r>
      <w:r w:rsidR="00784548" w:rsidRPr="00FF59E7">
        <w:rPr>
          <w:color w:val="1C1D1E"/>
          <w:shd w:val="clear" w:color="auto" w:fill="FFFFFF"/>
          <w:lang w:val="en-US"/>
        </w:rPr>
        <w:t xml:space="preserve"> months after </w:t>
      </w:r>
      <w:r w:rsidR="00784548">
        <w:rPr>
          <w:color w:val="1C1D1E"/>
          <w:shd w:val="clear" w:color="auto" w:fill="FFFFFF"/>
          <w:lang w:val="en-US"/>
        </w:rPr>
        <w:t xml:space="preserve">SARS-CoV-2 household </w:t>
      </w:r>
      <w:r w:rsidR="00784548" w:rsidRPr="00FF59E7">
        <w:rPr>
          <w:color w:val="1C1D1E"/>
          <w:shd w:val="clear" w:color="auto" w:fill="FFFFFF"/>
          <w:lang w:val="en-US"/>
        </w:rPr>
        <w:t>exposure</w:t>
      </w:r>
      <w:r w:rsidR="00784548">
        <w:rPr>
          <w:color w:val="1C1D1E"/>
          <w:shd w:val="clear" w:color="auto" w:fill="FFFFFF"/>
          <w:lang w:val="en-US"/>
        </w:rPr>
        <w:t xml:space="preserve"> with and without evidence of infection based on different definitions of seropositivity. Participants were classified as infected with a positive RT-PCR test result or seropositive in (A) anti-N pan-Ig, anti-S1-RBD IgG or anti-S1 IgG, (B) only anti-N pan-Ig, (C) only anti-S1-RBD IgG or (D) only anti-S1 IgG. </w:t>
      </w:r>
      <w:r w:rsidR="00784548" w:rsidRPr="00FF59E7">
        <w:rPr>
          <w:color w:val="1C1D1E"/>
          <w:shd w:val="clear" w:color="auto" w:fill="FFFFFF"/>
          <w:lang w:val="en-US"/>
        </w:rPr>
        <w:t xml:space="preserve">Mean and 1 ± times standard deviation </w:t>
      </w:r>
      <w:proofErr w:type="gramStart"/>
      <w:r w:rsidR="00784548" w:rsidRPr="00FF59E7">
        <w:rPr>
          <w:color w:val="1C1D1E"/>
          <w:shd w:val="clear" w:color="auto" w:fill="FFFFFF"/>
          <w:lang w:val="en-US"/>
        </w:rPr>
        <w:t>are</w:t>
      </w:r>
      <w:proofErr w:type="gramEnd"/>
      <w:r w:rsidR="00784548" w:rsidRPr="00FF59E7">
        <w:rPr>
          <w:color w:val="1C1D1E"/>
          <w:shd w:val="clear" w:color="auto" w:fill="FFFFFF"/>
          <w:lang w:val="en-US"/>
        </w:rPr>
        <w:t xml:space="preserve"> shown in black. </w:t>
      </w:r>
      <w:r w:rsidR="00784548" w:rsidRPr="00FF59E7">
        <w:rPr>
          <w:i/>
          <w:color w:val="1C1D1E"/>
          <w:shd w:val="clear" w:color="auto" w:fill="FFFFFF"/>
          <w:lang w:val="en-US"/>
        </w:rPr>
        <w:t>p</w:t>
      </w:r>
      <w:r w:rsidR="00784548" w:rsidRPr="00FF59E7">
        <w:rPr>
          <w:color w:val="1C1D1E"/>
          <w:shd w:val="clear" w:color="auto" w:fill="FFFFFF"/>
          <w:lang w:val="en-US"/>
        </w:rPr>
        <w:t xml:space="preserve"> values were calculated using </w:t>
      </w:r>
      <w:r w:rsidR="00784548" w:rsidRPr="00FF59E7">
        <w:rPr>
          <w:lang w:val="en-US"/>
        </w:rPr>
        <w:t xml:space="preserve">one-way ANOVA (A: </w:t>
      </w:r>
      <w:proofErr w:type="gramStart"/>
      <w:r w:rsidR="00784548" w:rsidRPr="00FF59E7">
        <w:rPr>
          <w:lang w:val="en-US"/>
        </w:rPr>
        <w:t>F[</w:t>
      </w:r>
      <w:proofErr w:type="gramEnd"/>
      <w:r w:rsidR="00784548" w:rsidRPr="00FF59E7">
        <w:rPr>
          <w:lang w:val="en-US"/>
        </w:rPr>
        <w:t>2, 1</w:t>
      </w:r>
      <w:r w:rsidR="00784548">
        <w:rPr>
          <w:lang w:val="en-US"/>
        </w:rPr>
        <w:t>343</w:t>
      </w:r>
      <w:r w:rsidR="00784548" w:rsidRPr="00FF59E7">
        <w:rPr>
          <w:lang w:val="en-US"/>
        </w:rPr>
        <w:t xml:space="preserve">] = </w:t>
      </w:r>
      <w:r w:rsidR="00784548">
        <w:rPr>
          <w:lang w:val="en-US"/>
        </w:rPr>
        <w:t xml:space="preserve">61.8 </w:t>
      </w:r>
      <w:r w:rsidR="00784548" w:rsidRPr="00FF59E7">
        <w:rPr>
          <w:lang w:val="en-US"/>
        </w:rPr>
        <w:t xml:space="preserve"> </w:t>
      </w:r>
      <w:r w:rsidR="00784548" w:rsidRPr="00FF59E7">
        <w:rPr>
          <w:i/>
          <w:lang w:val="en-US"/>
        </w:rPr>
        <w:t>p</w:t>
      </w:r>
      <w:r w:rsidR="00784548" w:rsidRPr="00FF59E7">
        <w:rPr>
          <w:lang w:val="en-US"/>
        </w:rPr>
        <w:t>&lt;0.0001; B: F[2, 134</w:t>
      </w:r>
      <w:r w:rsidR="00784548">
        <w:rPr>
          <w:lang w:val="en-US"/>
        </w:rPr>
        <w:t>2</w:t>
      </w:r>
      <w:r w:rsidR="00784548" w:rsidRPr="00FF59E7">
        <w:rPr>
          <w:lang w:val="en-US"/>
        </w:rPr>
        <w:t>] = 61.</w:t>
      </w:r>
      <w:r w:rsidR="00784548">
        <w:rPr>
          <w:lang w:val="en-US"/>
        </w:rPr>
        <w:t>8</w:t>
      </w:r>
      <w:r w:rsidR="00784548" w:rsidRPr="00FF59E7">
        <w:rPr>
          <w:lang w:val="en-US"/>
        </w:rPr>
        <w:t>,</w:t>
      </w:r>
      <w:r w:rsidR="00784548" w:rsidRPr="00FF59E7">
        <w:rPr>
          <w:i/>
          <w:lang w:val="en-US"/>
        </w:rPr>
        <w:t xml:space="preserve"> p</w:t>
      </w:r>
      <w:r w:rsidR="00784548" w:rsidRPr="00FF59E7">
        <w:rPr>
          <w:lang w:val="en-US"/>
        </w:rPr>
        <w:t>&lt;0.0001</w:t>
      </w:r>
      <w:r w:rsidR="00784548">
        <w:rPr>
          <w:lang w:val="en-US"/>
        </w:rPr>
        <w:t>; C</w:t>
      </w:r>
      <w:r w:rsidR="00784548" w:rsidRPr="004853CE">
        <w:rPr>
          <w:lang w:val="en-US"/>
        </w:rPr>
        <w:t xml:space="preserve"> </w:t>
      </w:r>
      <w:r w:rsidR="00784548" w:rsidRPr="00D54277">
        <w:rPr>
          <w:lang w:val="en-US"/>
        </w:rPr>
        <w:t>F[2, 134</w:t>
      </w:r>
      <w:r w:rsidR="00784548">
        <w:rPr>
          <w:lang w:val="en-US"/>
        </w:rPr>
        <w:t>1</w:t>
      </w:r>
      <w:r w:rsidR="00784548" w:rsidRPr="00D54277">
        <w:rPr>
          <w:lang w:val="en-US"/>
        </w:rPr>
        <w:t>] = 61.</w:t>
      </w:r>
      <w:r w:rsidR="00784548">
        <w:rPr>
          <w:lang w:val="en-US"/>
        </w:rPr>
        <w:t>8</w:t>
      </w:r>
      <w:r w:rsidR="00784548" w:rsidRPr="00D54277">
        <w:rPr>
          <w:lang w:val="en-US"/>
        </w:rPr>
        <w:t>,</w:t>
      </w:r>
      <w:r w:rsidR="00784548" w:rsidRPr="00D54277">
        <w:rPr>
          <w:i/>
          <w:lang w:val="en-US"/>
        </w:rPr>
        <w:t xml:space="preserve"> p</w:t>
      </w:r>
      <w:r w:rsidR="00784548" w:rsidRPr="00D54277">
        <w:rPr>
          <w:lang w:val="en-US"/>
        </w:rPr>
        <w:t>&lt;0.0001</w:t>
      </w:r>
      <w:r w:rsidR="00784548">
        <w:rPr>
          <w:lang w:val="en-US"/>
        </w:rPr>
        <w:t>; D</w:t>
      </w:r>
      <w:r w:rsidR="00784548" w:rsidRPr="004853CE">
        <w:rPr>
          <w:lang w:val="en-US"/>
        </w:rPr>
        <w:t xml:space="preserve"> </w:t>
      </w:r>
      <w:r w:rsidR="00784548" w:rsidRPr="00D54277">
        <w:rPr>
          <w:lang w:val="en-US"/>
        </w:rPr>
        <w:t>F[2, 13</w:t>
      </w:r>
      <w:r w:rsidR="00784548">
        <w:rPr>
          <w:lang w:val="en-US"/>
        </w:rPr>
        <w:t>39</w:t>
      </w:r>
      <w:r w:rsidR="00784548" w:rsidRPr="00D54277">
        <w:rPr>
          <w:lang w:val="en-US"/>
        </w:rPr>
        <w:t>] = 61.</w:t>
      </w:r>
      <w:r w:rsidR="00784548">
        <w:rPr>
          <w:lang w:val="en-US"/>
        </w:rPr>
        <w:t>9</w:t>
      </w:r>
      <w:r w:rsidR="00784548" w:rsidRPr="00D54277">
        <w:rPr>
          <w:lang w:val="en-US"/>
        </w:rPr>
        <w:t>,</w:t>
      </w:r>
      <w:r w:rsidR="00784548" w:rsidRPr="00D54277">
        <w:rPr>
          <w:i/>
          <w:lang w:val="en-US"/>
        </w:rPr>
        <w:t xml:space="preserve"> p</w:t>
      </w:r>
      <w:r w:rsidR="00784548" w:rsidRPr="00D54277">
        <w:rPr>
          <w:lang w:val="en-US"/>
        </w:rPr>
        <w:t>&lt;0.0001</w:t>
      </w:r>
      <w:r w:rsidR="00784548">
        <w:rPr>
          <w:lang w:val="en-US"/>
        </w:rPr>
        <w:t>;</w:t>
      </w:r>
      <w:r w:rsidR="00784548" w:rsidRPr="00FF59E7">
        <w:rPr>
          <w:lang w:val="en-US"/>
        </w:rPr>
        <w:t>) with Tukey correction for multiple comparisons</w:t>
      </w:r>
      <w:r w:rsidR="00784548">
        <w:rPr>
          <w:color w:val="1C1D1E"/>
          <w:shd w:val="clear" w:color="auto" w:fill="FFFFFF"/>
          <w:lang w:val="en-US"/>
        </w:rPr>
        <w:t>.</w:t>
      </w:r>
    </w:p>
    <w:p w14:paraId="15EC3FCC" w14:textId="43D89F2C" w:rsidR="00A27B4E" w:rsidRPr="00A27B4E" w:rsidRDefault="00A27B4E" w:rsidP="00EC413C">
      <w:pPr>
        <w:spacing w:line="360" w:lineRule="auto"/>
        <w:rPr>
          <w:b/>
          <w:bCs/>
          <w:lang w:val="en-US"/>
        </w:rPr>
      </w:pPr>
    </w:p>
    <w:p w14:paraId="23D1815F" w14:textId="77777777" w:rsidR="00450FCE" w:rsidRPr="00EC413C" w:rsidRDefault="00450FCE" w:rsidP="00EC413C">
      <w:pPr>
        <w:spacing w:line="360" w:lineRule="auto"/>
        <w:rPr>
          <w:b/>
          <w:bCs/>
          <w:lang w:val="en-US"/>
        </w:rPr>
      </w:pPr>
    </w:p>
    <w:p w14:paraId="1B802DD2" w14:textId="7B67073C" w:rsidR="00574A42" w:rsidRPr="00EC413C" w:rsidRDefault="006C673B" w:rsidP="00EC413C">
      <w:pPr>
        <w:spacing w:line="360" w:lineRule="auto"/>
        <w:rPr>
          <w:b/>
          <w:bCs/>
          <w:noProof/>
          <w:lang w:val="en-US" w:eastAsia="en-US"/>
          <w14:ligatures w14:val="standardContextual"/>
        </w:rPr>
      </w:pPr>
      <w:r>
        <w:rPr>
          <w:b/>
          <w:bCs/>
          <w:lang w:val="en-US"/>
        </w:rPr>
        <w:lastRenderedPageBreak/>
        <w:t xml:space="preserve">Supplementary Figure </w:t>
      </w:r>
      <w:r w:rsidR="00450FCE">
        <w:rPr>
          <w:b/>
          <w:bCs/>
          <w:lang w:val="en-US"/>
        </w:rPr>
        <w:t>5</w:t>
      </w:r>
      <w:r>
        <w:rPr>
          <w:b/>
          <w:bCs/>
          <w:lang w:val="en-US"/>
        </w:rPr>
        <w:t>.</w:t>
      </w:r>
      <w:r w:rsidRPr="006C673B">
        <w:rPr>
          <w:color w:val="1C1D1E"/>
          <w:shd w:val="clear" w:color="auto" w:fill="FFFFFF"/>
          <w:lang w:val="en-US"/>
        </w:rPr>
        <w:t xml:space="preserve"> </w:t>
      </w:r>
      <w:r w:rsidR="00001A6C" w:rsidRPr="00631B24">
        <w:rPr>
          <w:color w:val="1C1D1E"/>
          <w:shd w:val="clear" w:color="auto" w:fill="FFFFFF"/>
          <w:lang w:val="en-US"/>
        </w:rPr>
        <w:t>Longitudinal soluble ACE2 (sACE2) activity from (</w:t>
      </w:r>
      <w:r w:rsidR="00631B24" w:rsidRPr="00631B24">
        <w:rPr>
          <w:color w:val="1C1D1E"/>
          <w:shd w:val="clear" w:color="auto" w:fill="FFFFFF"/>
          <w:lang w:val="en-US"/>
        </w:rPr>
        <w:t>A</w:t>
      </w:r>
      <w:r w:rsidR="00001A6C" w:rsidRPr="00631B24">
        <w:rPr>
          <w:color w:val="1C1D1E"/>
          <w:shd w:val="clear" w:color="auto" w:fill="FFFFFF"/>
          <w:lang w:val="en-US"/>
        </w:rPr>
        <w:t>) 263 participants from Tübingen and (</w:t>
      </w:r>
      <w:r w:rsidR="00631B24" w:rsidRPr="00631B24">
        <w:rPr>
          <w:color w:val="1C1D1E"/>
          <w:shd w:val="clear" w:color="auto" w:fill="FFFFFF"/>
          <w:lang w:val="en-US"/>
        </w:rPr>
        <w:t>B</w:t>
      </w:r>
      <w:r w:rsidR="00001A6C" w:rsidRPr="00631B24">
        <w:rPr>
          <w:color w:val="1C1D1E"/>
          <w:shd w:val="clear" w:color="auto" w:fill="FFFFFF"/>
          <w:lang w:val="en-US"/>
        </w:rPr>
        <w:t>) 82 participants from Heidelberg 3 to 12 months after SARS-CoV-2 exposure. In (</w:t>
      </w:r>
      <w:r w:rsidR="00001A6C" w:rsidRPr="008C5FAA">
        <w:rPr>
          <w:caps/>
          <w:color w:val="1C1D1E"/>
          <w:shd w:val="clear" w:color="auto" w:fill="FFFFFF"/>
          <w:lang w:val="en-US"/>
        </w:rPr>
        <w:t>c</w:t>
      </w:r>
      <w:r w:rsidR="00001A6C" w:rsidRPr="00631B24">
        <w:rPr>
          <w:color w:val="1C1D1E"/>
          <w:shd w:val="clear" w:color="auto" w:fill="FFFFFF"/>
          <w:lang w:val="en-US"/>
        </w:rPr>
        <w:t>) d</w:t>
      </w:r>
      <w:r w:rsidR="00001A6C" w:rsidRPr="00631B24">
        <w:rPr>
          <w:lang w:val="en-US"/>
        </w:rPr>
        <w:t xml:space="preserve">ifference of </w:t>
      </w:r>
      <w:r w:rsidR="00001A6C" w:rsidRPr="00631B24">
        <w:rPr>
          <w:color w:val="1C1D1E"/>
          <w:shd w:val="clear" w:color="auto" w:fill="FFFFFF"/>
          <w:lang w:val="en-US"/>
        </w:rPr>
        <w:t>sACE2 (∆sACE2) activity in sera from 345 participants 3 (T1) to 12 (T2) months after SARS-CoV-2 exposure</w:t>
      </w:r>
      <w:r w:rsidR="00001A6C" w:rsidRPr="00631B24">
        <w:rPr>
          <w:lang w:val="en-US"/>
        </w:rPr>
        <w:t xml:space="preserve"> was </w:t>
      </w:r>
      <w:r w:rsidR="00001A6C" w:rsidRPr="00631B24">
        <w:rPr>
          <w:color w:val="1C1D1E"/>
          <w:shd w:val="clear" w:color="auto" w:fill="FFFFFF"/>
          <w:lang w:val="en-US"/>
        </w:rPr>
        <w:t>stratified by study site. Individual data for each participant are depicted in gray. (</w:t>
      </w:r>
      <w:r w:rsidR="00631B24" w:rsidRPr="00631B24">
        <w:rPr>
          <w:color w:val="1C1D1E"/>
          <w:shd w:val="clear" w:color="auto" w:fill="FFFFFF"/>
          <w:lang w:val="en-US"/>
        </w:rPr>
        <w:t>A</w:t>
      </w:r>
      <w:r w:rsidR="00001A6C" w:rsidRPr="00631B24">
        <w:rPr>
          <w:color w:val="1C1D1E"/>
          <w:shd w:val="clear" w:color="auto" w:fill="FFFFFF"/>
          <w:lang w:val="en-US"/>
        </w:rPr>
        <w:t xml:space="preserve">, </w:t>
      </w:r>
      <w:r w:rsidR="00631B24" w:rsidRPr="00631B24">
        <w:rPr>
          <w:color w:val="1C1D1E"/>
          <w:shd w:val="clear" w:color="auto" w:fill="FFFFFF"/>
          <w:lang w:val="en-US"/>
        </w:rPr>
        <w:t>B</w:t>
      </w:r>
      <w:r w:rsidR="00001A6C" w:rsidRPr="00631B24">
        <w:rPr>
          <w:color w:val="1C1D1E"/>
          <w:shd w:val="clear" w:color="auto" w:fill="FFFFFF"/>
          <w:lang w:val="en-US"/>
        </w:rPr>
        <w:t>) longitudinal mean and (</w:t>
      </w:r>
      <w:r w:rsidR="00631B24" w:rsidRPr="00631B24">
        <w:rPr>
          <w:color w:val="1C1D1E"/>
          <w:shd w:val="clear" w:color="auto" w:fill="FFFFFF"/>
          <w:lang w:val="en-US"/>
        </w:rPr>
        <w:t>B</w:t>
      </w:r>
      <w:r w:rsidR="00001A6C" w:rsidRPr="00631B24">
        <w:rPr>
          <w:color w:val="1C1D1E"/>
          <w:shd w:val="clear" w:color="auto" w:fill="FFFFFF"/>
          <w:lang w:val="en-US"/>
        </w:rPr>
        <w:t xml:space="preserve">) mean and 1 ± times standard deviation </w:t>
      </w:r>
      <w:proofErr w:type="gramStart"/>
      <w:r w:rsidR="00001A6C" w:rsidRPr="00631B24">
        <w:rPr>
          <w:color w:val="1C1D1E"/>
          <w:shd w:val="clear" w:color="auto" w:fill="FFFFFF"/>
          <w:lang w:val="en-US"/>
        </w:rPr>
        <w:t>are</w:t>
      </w:r>
      <w:proofErr w:type="gramEnd"/>
      <w:r w:rsidR="00001A6C" w:rsidRPr="00631B24">
        <w:rPr>
          <w:color w:val="1C1D1E"/>
          <w:shd w:val="clear" w:color="auto" w:fill="FFFFFF"/>
          <w:lang w:val="en-US"/>
        </w:rPr>
        <w:t xml:space="preserve"> shown in black. </w:t>
      </w:r>
      <w:r w:rsidR="00001A6C" w:rsidRPr="00631B24">
        <w:rPr>
          <w:i/>
          <w:color w:val="1C1D1E"/>
          <w:shd w:val="clear" w:color="auto" w:fill="FFFFFF"/>
          <w:lang w:val="en-US"/>
        </w:rPr>
        <w:t>p</w:t>
      </w:r>
      <w:r w:rsidR="00001A6C" w:rsidRPr="00631B24">
        <w:rPr>
          <w:color w:val="1C1D1E"/>
          <w:shd w:val="clear" w:color="auto" w:fill="FFFFFF"/>
          <w:lang w:val="en-US"/>
        </w:rPr>
        <w:t xml:space="preserve"> value was calculated using (</w:t>
      </w:r>
      <w:r w:rsidR="00631B24" w:rsidRPr="00631B24">
        <w:rPr>
          <w:color w:val="1C1D1E"/>
          <w:shd w:val="clear" w:color="auto" w:fill="FFFFFF"/>
          <w:lang w:val="en-US"/>
        </w:rPr>
        <w:t>A</w:t>
      </w:r>
      <w:r w:rsidR="00001A6C" w:rsidRPr="00631B24">
        <w:rPr>
          <w:color w:val="1C1D1E"/>
          <w:shd w:val="clear" w:color="auto" w:fill="FFFFFF"/>
          <w:lang w:val="en-US"/>
        </w:rPr>
        <w:t xml:space="preserve">, </w:t>
      </w:r>
      <w:r w:rsidR="00631B24" w:rsidRPr="00631B24">
        <w:rPr>
          <w:color w:val="1C1D1E"/>
          <w:shd w:val="clear" w:color="auto" w:fill="FFFFFF"/>
          <w:lang w:val="en-US"/>
        </w:rPr>
        <w:t>B</w:t>
      </w:r>
      <w:r w:rsidR="00001A6C" w:rsidRPr="00631B24">
        <w:rPr>
          <w:color w:val="1C1D1E"/>
          <w:shd w:val="clear" w:color="auto" w:fill="FFFFFF"/>
          <w:lang w:val="en-US"/>
        </w:rPr>
        <w:t>) paired and (</w:t>
      </w:r>
      <w:r w:rsidR="00631B24" w:rsidRPr="00631B24">
        <w:rPr>
          <w:color w:val="1C1D1E"/>
          <w:shd w:val="clear" w:color="auto" w:fill="FFFFFF"/>
          <w:lang w:val="en-US"/>
        </w:rPr>
        <w:t>C</w:t>
      </w:r>
      <w:r w:rsidR="00001A6C" w:rsidRPr="00631B24">
        <w:rPr>
          <w:color w:val="1C1D1E"/>
          <w:shd w:val="clear" w:color="auto" w:fill="FFFFFF"/>
          <w:lang w:val="en-US"/>
        </w:rPr>
        <w:t>) unpaired t-test.</w:t>
      </w:r>
    </w:p>
    <w:p w14:paraId="1F6A8D3C" w14:textId="77777777" w:rsidR="00574A42" w:rsidRDefault="00001A6C" w:rsidP="00EC413C">
      <w:pPr>
        <w:spacing w:line="360" w:lineRule="auto"/>
        <w:jc w:val="both"/>
        <w:rPr>
          <w:lang w:val="en-US"/>
        </w:rPr>
      </w:pPr>
      <w:r>
        <w:rPr>
          <w:color w:val="1C1D1E"/>
          <w:shd w:val="clear" w:color="auto" w:fill="FFFFFF"/>
          <w:lang w:val="en-US"/>
        </w:rPr>
        <w:t xml:space="preserve"> </w:t>
      </w:r>
    </w:p>
    <w:p w14:paraId="3D365A57" w14:textId="555CB661" w:rsidR="00574A42" w:rsidRPr="00EC413C" w:rsidRDefault="006C673B" w:rsidP="00EC413C">
      <w:pPr>
        <w:spacing w:line="360" w:lineRule="auto"/>
        <w:rPr>
          <w:b/>
          <w:bCs/>
          <w:lang w:val="en-US"/>
        </w:rPr>
      </w:pPr>
      <w:r>
        <w:rPr>
          <w:b/>
          <w:bCs/>
          <w:lang w:val="en-US"/>
        </w:rPr>
        <w:t xml:space="preserve">Supplementary Figure </w:t>
      </w:r>
      <w:r w:rsidR="00450FCE">
        <w:rPr>
          <w:b/>
          <w:bCs/>
          <w:lang w:val="en-US"/>
        </w:rPr>
        <w:t>6</w:t>
      </w:r>
      <w:r w:rsidRPr="006C673B">
        <w:rPr>
          <w:b/>
          <w:bCs/>
          <w:lang w:val="en-US"/>
        </w:rPr>
        <w:t>.</w:t>
      </w:r>
      <w:r w:rsidRPr="006C673B">
        <w:rPr>
          <w:b/>
          <w:lang w:val="en-US"/>
        </w:rPr>
        <w:t xml:space="preserve"> </w:t>
      </w:r>
      <w:r w:rsidR="00001A6C">
        <w:rPr>
          <w:lang w:val="en-US"/>
        </w:rPr>
        <w:t xml:space="preserve">Difference of </w:t>
      </w:r>
      <w:r w:rsidR="00001A6C">
        <w:rPr>
          <w:color w:val="1C1D1E"/>
          <w:shd w:val="clear" w:color="auto" w:fill="FFFFFF"/>
          <w:lang w:val="en-US"/>
        </w:rPr>
        <w:t>soluble ACE2 (∆sACE2) activity in sera from 345 participants 3 months (T1) to 1 year (T2) after SARS-CoV-2 exposure</w:t>
      </w:r>
      <w:r w:rsidR="00001A6C">
        <w:rPr>
          <w:lang w:val="en-US"/>
        </w:rPr>
        <w:t xml:space="preserve"> </w:t>
      </w:r>
      <w:r w:rsidR="00001A6C">
        <w:rPr>
          <w:color w:val="1C1D1E"/>
          <w:shd w:val="clear" w:color="auto" w:fill="FFFFFF"/>
          <w:lang w:val="en-US"/>
        </w:rPr>
        <w:t xml:space="preserve">stratified by age group. Mean and 1 </w:t>
      </w:r>
      <w:r w:rsidR="00001A6C">
        <w:rPr>
          <w:lang w:val="en-US"/>
        </w:rPr>
        <w:t xml:space="preserve">± times </w:t>
      </w:r>
      <w:r w:rsidR="00001A6C">
        <w:rPr>
          <w:color w:val="1C1D1E"/>
          <w:shd w:val="clear" w:color="auto" w:fill="FFFFFF"/>
          <w:lang w:val="en-US"/>
        </w:rPr>
        <w:t>standard deviation</w:t>
      </w:r>
      <w:r w:rsidR="0027028A">
        <w:rPr>
          <w:color w:val="1C1D1E"/>
          <w:shd w:val="clear" w:color="auto" w:fill="FFFFFF"/>
          <w:lang w:val="en-US"/>
        </w:rPr>
        <w:t>s</w:t>
      </w:r>
      <w:r w:rsidR="00001A6C">
        <w:rPr>
          <w:color w:val="1C1D1E"/>
          <w:shd w:val="clear" w:color="auto" w:fill="FFFFFF"/>
          <w:lang w:val="en-US"/>
        </w:rPr>
        <w:t xml:space="preserve"> are shown in black and individual data for each participant are depicted in gray. </w:t>
      </w:r>
      <w:r w:rsidR="00001A6C">
        <w:rPr>
          <w:rStyle w:val="apple-converted-space"/>
          <w:color w:val="1C1D1E"/>
          <w:shd w:val="clear" w:color="auto" w:fill="FFFFFF"/>
          <w:lang w:val="en-US"/>
        </w:rPr>
        <w:t> </w:t>
      </w:r>
      <w:r w:rsidR="00001A6C">
        <w:rPr>
          <w:i/>
          <w:iCs/>
          <w:color w:val="1C1D1E"/>
          <w:lang w:val="en-US"/>
        </w:rPr>
        <w:t>p</w:t>
      </w:r>
      <w:r w:rsidR="00001A6C">
        <w:rPr>
          <w:color w:val="1C1D1E"/>
          <w:shd w:val="clear" w:color="auto" w:fill="FFFFFF"/>
          <w:lang w:val="en-US"/>
        </w:rPr>
        <w:t xml:space="preserve"> values were calculated using </w:t>
      </w:r>
      <w:r w:rsidR="00001A6C">
        <w:rPr>
          <w:lang w:val="en-US"/>
        </w:rPr>
        <w:t xml:space="preserve">unpaired t-test. </w:t>
      </w:r>
    </w:p>
    <w:p w14:paraId="69349F68" w14:textId="77777777" w:rsidR="00574A42" w:rsidRDefault="00574A42" w:rsidP="00EC413C">
      <w:pPr>
        <w:spacing w:line="360" w:lineRule="auto"/>
        <w:jc w:val="both"/>
        <w:rPr>
          <w:lang w:val="en-US"/>
        </w:rPr>
      </w:pPr>
    </w:p>
    <w:p w14:paraId="0366CA1B" w14:textId="40677BE8" w:rsidR="00574A42" w:rsidRPr="00EC413C" w:rsidRDefault="006C673B" w:rsidP="00EC413C">
      <w:pPr>
        <w:spacing w:line="360" w:lineRule="auto"/>
        <w:jc w:val="both"/>
        <w:rPr>
          <w:b/>
          <w:bCs/>
          <w:lang w:val="en-US"/>
        </w:rPr>
      </w:pPr>
      <w:r>
        <w:rPr>
          <w:b/>
          <w:bCs/>
          <w:lang w:val="en-US"/>
        </w:rPr>
        <w:t xml:space="preserve">Supplementary </w:t>
      </w:r>
      <w:r w:rsidRPr="006C673B">
        <w:rPr>
          <w:b/>
          <w:bCs/>
          <w:lang w:val="en-US"/>
        </w:rPr>
        <w:t xml:space="preserve">Figure </w:t>
      </w:r>
      <w:r w:rsidR="00450FCE">
        <w:rPr>
          <w:b/>
          <w:bCs/>
          <w:lang w:val="en-US"/>
        </w:rPr>
        <w:t>7</w:t>
      </w:r>
      <w:r w:rsidRPr="006C673B">
        <w:rPr>
          <w:b/>
          <w:bCs/>
          <w:lang w:val="en-US"/>
        </w:rPr>
        <w:t>.</w:t>
      </w:r>
      <w:r w:rsidRPr="006C673B">
        <w:rPr>
          <w:b/>
          <w:color w:val="1C1D1E"/>
          <w:shd w:val="clear" w:color="auto" w:fill="FFFFFF"/>
          <w:lang w:val="en-US"/>
        </w:rPr>
        <w:t xml:space="preserve"> </w:t>
      </w:r>
      <w:r w:rsidR="00001A6C">
        <w:rPr>
          <w:color w:val="1C1D1E"/>
          <w:shd w:val="clear" w:color="auto" w:fill="FFFFFF"/>
          <w:lang w:val="en-US"/>
        </w:rPr>
        <w:t>Soluble ACE2 (sACE2) activity in sera from (</w:t>
      </w:r>
      <w:r w:rsidR="00631B24" w:rsidRPr="00631B24">
        <w:rPr>
          <w:color w:val="1C1D1E"/>
          <w:shd w:val="clear" w:color="auto" w:fill="FFFFFF"/>
          <w:lang w:val="en-US"/>
        </w:rPr>
        <w:t>A</w:t>
      </w:r>
      <w:r w:rsidR="00001A6C">
        <w:rPr>
          <w:color w:val="1C1D1E"/>
          <w:shd w:val="clear" w:color="auto" w:fill="FFFFFF"/>
          <w:lang w:val="en-US"/>
        </w:rPr>
        <w:t xml:space="preserve">) </w:t>
      </w:r>
      <w:r w:rsidR="00450FCE">
        <w:rPr>
          <w:color w:val="1C1D1E"/>
          <w:shd w:val="clear" w:color="auto" w:fill="FFFFFF"/>
          <w:lang w:val="en-US"/>
        </w:rPr>
        <w:t xml:space="preserve">361 </w:t>
      </w:r>
      <w:r w:rsidR="00001A6C">
        <w:rPr>
          <w:color w:val="1C1D1E"/>
          <w:shd w:val="clear" w:color="auto" w:fill="FFFFFF"/>
          <w:lang w:val="en-US"/>
        </w:rPr>
        <w:t>participants 3 months and (</w:t>
      </w:r>
      <w:r w:rsidR="00631B24">
        <w:rPr>
          <w:color w:val="1C1D1E"/>
          <w:shd w:val="clear" w:color="auto" w:fill="FFFFFF"/>
          <w:lang w:val="en-US"/>
        </w:rPr>
        <w:t>B</w:t>
      </w:r>
      <w:r w:rsidR="00001A6C">
        <w:rPr>
          <w:color w:val="1C1D1E"/>
          <w:shd w:val="clear" w:color="auto" w:fill="FFFFFF"/>
          <w:lang w:val="en-US"/>
        </w:rPr>
        <w:t xml:space="preserve">) </w:t>
      </w:r>
      <w:r w:rsidR="00450FCE">
        <w:rPr>
          <w:color w:val="1C1D1E"/>
          <w:shd w:val="clear" w:color="auto" w:fill="FFFFFF"/>
          <w:lang w:val="en-US"/>
        </w:rPr>
        <w:t xml:space="preserve">236 </w:t>
      </w:r>
      <w:r w:rsidR="00001A6C">
        <w:rPr>
          <w:color w:val="1C1D1E"/>
          <w:shd w:val="clear" w:color="auto" w:fill="FFFFFF"/>
          <w:lang w:val="en-US"/>
        </w:rPr>
        <w:t xml:space="preserve">participants 1 year after SARS-CoV-2 </w:t>
      </w:r>
      <w:r w:rsidR="00450FCE">
        <w:rPr>
          <w:color w:val="1C1D1E"/>
          <w:shd w:val="clear" w:color="auto" w:fill="FFFFFF"/>
          <w:lang w:val="en-US"/>
        </w:rPr>
        <w:t>infection</w:t>
      </w:r>
      <w:r w:rsidR="00450FCE">
        <w:rPr>
          <w:lang w:val="en-US"/>
        </w:rPr>
        <w:t xml:space="preserve"> </w:t>
      </w:r>
      <w:r w:rsidR="00001A6C">
        <w:rPr>
          <w:color w:val="1C1D1E"/>
          <w:shd w:val="clear" w:color="auto" w:fill="FFFFFF"/>
          <w:lang w:val="en-US"/>
        </w:rPr>
        <w:t xml:space="preserve">stratified by moderate/severe </w:t>
      </w:r>
      <w:r>
        <w:rPr>
          <w:color w:val="1C1D1E"/>
          <w:shd w:val="clear" w:color="auto" w:fill="FFFFFF"/>
          <w:lang w:val="en-US"/>
        </w:rPr>
        <w:t xml:space="preserve">persistent </w:t>
      </w:r>
      <w:r w:rsidR="00001A6C">
        <w:rPr>
          <w:color w:val="1C1D1E"/>
          <w:shd w:val="clear" w:color="auto" w:fill="FFFFFF"/>
          <w:lang w:val="en-US"/>
        </w:rPr>
        <w:t xml:space="preserve">symptoms still present 1 year after SARS-CoV-2. Mean and 1 </w:t>
      </w:r>
      <w:r w:rsidR="00001A6C">
        <w:rPr>
          <w:lang w:val="en-US"/>
        </w:rPr>
        <w:t xml:space="preserve">± times </w:t>
      </w:r>
      <w:r w:rsidR="00001A6C">
        <w:rPr>
          <w:color w:val="1C1D1E"/>
          <w:shd w:val="clear" w:color="auto" w:fill="FFFFFF"/>
          <w:lang w:val="en-US"/>
        </w:rPr>
        <w:t xml:space="preserve">standard deviation </w:t>
      </w:r>
      <w:proofErr w:type="gramStart"/>
      <w:r w:rsidR="00001A6C">
        <w:rPr>
          <w:color w:val="1C1D1E"/>
          <w:shd w:val="clear" w:color="auto" w:fill="FFFFFF"/>
          <w:lang w:val="en-US"/>
        </w:rPr>
        <w:t>are</w:t>
      </w:r>
      <w:proofErr w:type="gramEnd"/>
      <w:r w:rsidR="00001A6C">
        <w:rPr>
          <w:color w:val="1C1D1E"/>
          <w:shd w:val="clear" w:color="auto" w:fill="FFFFFF"/>
          <w:lang w:val="en-US"/>
        </w:rPr>
        <w:t xml:space="preserve"> shown in black and individual data for each participant are depicted in gray. </w:t>
      </w:r>
      <w:r w:rsidR="00001A6C">
        <w:rPr>
          <w:rStyle w:val="apple-converted-space"/>
          <w:color w:val="1C1D1E"/>
          <w:shd w:val="clear" w:color="auto" w:fill="FFFFFF"/>
          <w:lang w:val="en-US"/>
        </w:rPr>
        <w:t> </w:t>
      </w:r>
      <w:r w:rsidR="00001A6C">
        <w:rPr>
          <w:i/>
          <w:iCs/>
          <w:color w:val="1C1D1E"/>
          <w:lang w:val="en-US"/>
        </w:rPr>
        <w:t>p</w:t>
      </w:r>
      <w:r w:rsidR="00001A6C">
        <w:rPr>
          <w:color w:val="1C1D1E"/>
          <w:shd w:val="clear" w:color="auto" w:fill="FFFFFF"/>
          <w:lang w:val="en-US"/>
        </w:rPr>
        <w:t xml:space="preserve"> values were calculated using </w:t>
      </w:r>
      <w:r w:rsidR="00001A6C">
        <w:rPr>
          <w:lang w:val="en-US"/>
        </w:rPr>
        <w:t xml:space="preserve">unpaired t-test. </w:t>
      </w:r>
    </w:p>
    <w:sectPr w:rsidR="00574A42" w:rsidRPr="00EC413C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.AppleSystemUIFont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Layout" w:val="&lt;ENLayout&gt;&lt;Style&gt;New England J Medicine Copy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tp05ardstw22wsexvzy5092csrsz9twxvwav&quot;&gt;COVID19&lt;record-ids&gt;&lt;item&gt;312&lt;/item&gt;&lt;/record-ids&gt;&lt;/item&gt;&lt;/Libraries&gt;"/>
  </w:docVars>
  <w:rsids>
    <w:rsidRoot w:val="00574A42"/>
    <w:rsid w:val="00001A6C"/>
    <w:rsid w:val="0003253B"/>
    <w:rsid w:val="00111DF7"/>
    <w:rsid w:val="001A42C1"/>
    <w:rsid w:val="0027028A"/>
    <w:rsid w:val="0028460A"/>
    <w:rsid w:val="002D0413"/>
    <w:rsid w:val="0034025C"/>
    <w:rsid w:val="00361267"/>
    <w:rsid w:val="00413279"/>
    <w:rsid w:val="00450FCE"/>
    <w:rsid w:val="004853CE"/>
    <w:rsid w:val="00574A42"/>
    <w:rsid w:val="005E2231"/>
    <w:rsid w:val="005F74F6"/>
    <w:rsid w:val="00631B24"/>
    <w:rsid w:val="006511C5"/>
    <w:rsid w:val="006C673B"/>
    <w:rsid w:val="007104D2"/>
    <w:rsid w:val="00737051"/>
    <w:rsid w:val="00784548"/>
    <w:rsid w:val="008C5FAA"/>
    <w:rsid w:val="008F2666"/>
    <w:rsid w:val="009504D0"/>
    <w:rsid w:val="009572D8"/>
    <w:rsid w:val="00993EB2"/>
    <w:rsid w:val="009C4A9A"/>
    <w:rsid w:val="009D2DA8"/>
    <w:rsid w:val="00A24E0E"/>
    <w:rsid w:val="00A27B4E"/>
    <w:rsid w:val="00A8008E"/>
    <w:rsid w:val="00AF1234"/>
    <w:rsid w:val="00B104F4"/>
    <w:rsid w:val="00B140B5"/>
    <w:rsid w:val="00B47069"/>
    <w:rsid w:val="00B61CFE"/>
    <w:rsid w:val="00B84D4A"/>
    <w:rsid w:val="00BC29DF"/>
    <w:rsid w:val="00CD736B"/>
    <w:rsid w:val="00D042BF"/>
    <w:rsid w:val="00D0757D"/>
    <w:rsid w:val="00D171BA"/>
    <w:rsid w:val="00D171F9"/>
    <w:rsid w:val="00D25EE3"/>
    <w:rsid w:val="00D4066E"/>
    <w:rsid w:val="00D9445C"/>
    <w:rsid w:val="00DB28AB"/>
    <w:rsid w:val="00DB48A9"/>
    <w:rsid w:val="00DD5493"/>
    <w:rsid w:val="00E10027"/>
    <w:rsid w:val="00E51EE5"/>
    <w:rsid w:val="00E9244F"/>
    <w:rsid w:val="00EA2E44"/>
    <w:rsid w:val="00EC413C"/>
    <w:rsid w:val="00ED1909"/>
    <w:rsid w:val="00EE1C1A"/>
    <w:rsid w:val="00F3531B"/>
    <w:rsid w:val="00F96D58"/>
    <w:rsid w:val="00FC6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90CC6"/>
  <w15:chartTrackingRefBased/>
  <w15:docId w15:val="{1755EE34-710E-B244-8162-A63927A28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pple-converted-space">
    <w:name w:val="apple-converted-space"/>
    <w:basedOn w:val="Absatz-Standardschriftart"/>
  </w:style>
  <w:style w:type="paragraph" w:styleId="StandardWeb">
    <w:name w:val="Normal (Web)"/>
    <w:basedOn w:val="Standard"/>
    <w:uiPriority w:val="99"/>
    <w:unhideWhenUsed/>
    <w:pPr>
      <w:spacing w:before="100" w:beforeAutospacing="1" w:after="100" w:afterAutospacing="1"/>
    </w:pPr>
  </w:style>
  <w:style w:type="paragraph" w:customStyle="1" w:styleId="p1">
    <w:name w:val="p1"/>
    <w:basedOn w:val="Standard"/>
    <w:rPr>
      <w:rFonts w:ascii=".AppleSystemUIFont" w:hAnsi=".AppleSystemUIFont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after="200"/>
    </w:pPr>
    <w:rPr>
      <w:rFonts w:asciiTheme="minorHAnsi" w:eastAsiaTheme="minorHAnsi" w:hAnsiTheme="minorHAnsi" w:cstheme="minorBidi"/>
      <w:sz w:val="20"/>
      <w:szCs w:val="20"/>
      <w:lang w:val="en-US"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kern w:val="0"/>
      <w:sz w:val="20"/>
      <w:szCs w:val="20"/>
      <w:lang w:val="en-US"/>
      <w14:ligatures w14:val="none"/>
    </w:rPr>
  </w:style>
  <w:style w:type="paragraph" w:customStyle="1" w:styleId="EndNoteBibliographyTitle">
    <w:name w:val="EndNote Bibliography Title"/>
    <w:basedOn w:val="Standard"/>
    <w:link w:val="EndNoteBibliographyTitleZchn"/>
    <w:pPr>
      <w:jc w:val="center"/>
    </w:pPr>
  </w:style>
  <w:style w:type="character" w:customStyle="1" w:styleId="EndNoteBibliographyTitleZchn">
    <w:name w:val="EndNote Bibliography Title Zchn"/>
    <w:basedOn w:val="Absatz-Standardschriftart"/>
    <w:link w:val="EndNoteBibliographyTitle"/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paragraph" w:customStyle="1" w:styleId="EndNoteBibliography">
    <w:name w:val="EndNote Bibliography"/>
    <w:basedOn w:val="Standard"/>
    <w:link w:val="EndNoteBibliographyZchn"/>
  </w:style>
  <w:style w:type="character" w:customStyle="1" w:styleId="EndNoteBibliographyZchn">
    <w:name w:val="EndNote Bibliography Zchn"/>
    <w:basedOn w:val="Absatz-Standardschriftart"/>
    <w:link w:val="EndNoteBibliography"/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Segoe UI" w:eastAsia="Times New Roman" w:hAnsi="Segoe UI" w:cs="Segoe UI"/>
      <w:kern w:val="0"/>
      <w:sz w:val="18"/>
      <w:szCs w:val="18"/>
      <w:lang w:eastAsia="de-DE"/>
      <w14:ligatures w14:val="non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pPr>
      <w:spacing w:after="0"/>
    </w:pPr>
    <w:rPr>
      <w:rFonts w:ascii="Times New Roman" w:eastAsia="Times New Roman" w:hAnsi="Times New Roman" w:cs="Times New Roman"/>
      <w:b/>
      <w:bCs/>
      <w:lang w:val="de-DE" w:eastAsia="de-DE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Pr>
      <w:rFonts w:ascii="Times New Roman" w:eastAsia="Times New Roman" w:hAnsi="Times New Roman" w:cs="Times New Roman"/>
      <w:b/>
      <w:bCs/>
      <w:kern w:val="0"/>
      <w:sz w:val="20"/>
      <w:szCs w:val="20"/>
      <w:lang w:val="en-US" w:eastAsia="de-DE"/>
      <w14:ligatures w14:val="none"/>
    </w:rPr>
  </w:style>
  <w:style w:type="paragraph" w:styleId="berarbeitung">
    <w:name w:val="Revision"/>
    <w:hidden/>
    <w:uiPriority w:val="99"/>
    <w:semiHidden/>
    <w:rPr>
      <w:rFonts w:ascii="Times New Roman" w:eastAsia="Times New Roman" w:hAnsi="Times New Roman" w:cs="Times New Roman"/>
      <w:kern w:val="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29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78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31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600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4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5FE7D13-B717-408D-947A-878224F11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476</Words>
  <Characters>3267</Characters>
  <Application>Microsoft Office Word</Application>
  <DocSecurity>0</DocSecurity>
  <Lines>116</Lines>
  <Paragraphs>50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Maximilian Stich</dc:creator>
  <cp:keywords/>
  <dc:description/>
  <cp:lastModifiedBy>Maximilian</cp:lastModifiedBy>
  <cp:revision>3</cp:revision>
  <dcterms:created xsi:type="dcterms:W3CDTF">2024-10-21T15:17:00Z</dcterms:created>
  <dcterms:modified xsi:type="dcterms:W3CDTF">2024-10-21T15:17:00Z</dcterms:modified>
</cp:coreProperties>
</file>