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6BB10" w14:textId="77777777" w:rsidR="009011AD" w:rsidRPr="00CF4C2B" w:rsidRDefault="009011AD" w:rsidP="004B775D">
      <w:pPr>
        <w:pStyle w:val="Heading1"/>
        <w:rPr>
          <w:color w:val="auto"/>
        </w:rPr>
      </w:pPr>
      <w:r w:rsidRPr="00CF4C2B">
        <w:rPr>
          <w:color w:val="auto"/>
        </w:rPr>
        <w:t>Supplementary material - Tables</w:t>
      </w:r>
    </w:p>
    <w:p w14:paraId="08631F38" w14:textId="77777777" w:rsidR="009011AD" w:rsidRPr="00CF4C2B" w:rsidRDefault="009011AD" w:rsidP="00DA57E4">
      <w:pPr>
        <w:pStyle w:val="Tableheading"/>
      </w:pPr>
    </w:p>
    <w:p w14:paraId="5DB168FB" w14:textId="685D7B47" w:rsidR="00433A81" w:rsidRPr="00CF4C2B" w:rsidRDefault="00433A81" w:rsidP="00ED56E0">
      <w:pPr>
        <w:pStyle w:val="Heading3"/>
        <w:jc w:val="both"/>
        <w:rPr>
          <w:color w:val="auto"/>
        </w:rPr>
      </w:pPr>
      <w:r w:rsidRPr="00CF4C2B">
        <w:rPr>
          <w:color w:val="auto"/>
        </w:rPr>
        <w:t>Table S1:</w:t>
      </w:r>
      <w:r w:rsidR="00F20912" w:rsidRPr="00CF4C2B">
        <w:rPr>
          <w:color w:val="auto"/>
        </w:rPr>
        <w:t xml:space="preserve"> </w:t>
      </w:r>
      <w:r w:rsidRPr="00CF4C2B">
        <w:rPr>
          <w:color w:val="auto"/>
        </w:rPr>
        <w:t>Summary measures of species richness</w:t>
      </w:r>
      <w:r w:rsidR="00F20912" w:rsidRPr="00CF4C2B">
        <w:rPr>
          <w:color w:val="auto"/>
        </w:rPr>
        <w:t xml:space="preserve"> and abundance</w:t>
      </w:r>
      <w:r w:rsidRPr="00CF4C2B">
        <w:rPr>
          <w:color w:val="auto"/>
        </w:rPr>
        <w:t xml:space="preserve"> per plot</w:t>
      </w:r>
      <w:r w:rsidR="00F730F0" w:rsidRPr="00CF4C2B">
        <w:rPr>
          <w:color w:val="auto"/>
        </w:rPr>
        <w:t xml:space="preserve">, </w:t>
      </w:r>
      <w:r w:rsidR="001A2F1B" w:rsidRPr="00CF4C2B">
        <w:rPr>
          <w:color w:val="auto"/>
        </w:rPr>
        <w:t xml:space="preserve">for the </w:t>
      </w:r>
      <w:r w:rsidR="00F20912" w:rsidRPr="00CF4C2B">
        <w:rPr>
          <w:color w:val="auto"/>
        </w:rPr>
        <w:t xml:space="preserve">main dataset </w:t>
      </w:r>
      <w:r w:rsidR="00A75A09" w:rsidRPr="00CF4C2B">
        <w:rPr>
          <w:color w:val="auto"/>
        </w:rPr>
        <w:t xml:space="preserve">of bees caught in </w:t>
      </w:r>
      <w:r w:rsidR="001A2F1B" w:rsidRPr="00CF4C2B">
        <w:rPr>
          <w:color w:val="auto"/>
        </w:rPr>
        <w:t xml:space="preserve">along </w:t>
      </w:r>
      <w:r w:rsidR="00A75A09" w:rsidRPr="00CF4C2B">
        <w:rPr>
          <w:color w:val="auto"/>
        </w:rPr>
        <w:t>transect</w:t>
      </w:r>
      <w:r w:rsidR="001A2F1B" w:rsidRPr="00CF4C2B">
        <w:rPr>
          <w:color w:val="auto"/>
        </w:rPr>
        <w:t>s</w:t>
      </w:r>
      <w:r w:rsidR="00A75A09" w:rsidRPr="00CF4C2B">
        <w:rPr>
          <w:color w:val="auto"/>
        </w:rPr>
        <w:t xml:space="preserve">. </w:t>
      </w:r>
      <w:r w:rsidR="001A2F1B" w:rsidRPr="00CF4C2B">
        <w:rPr>
          <w:color w:val="auto"/>
        </w:rPr>
        <w:t xml:space="preserve">The first </w:t>
      </w:r>
      <w:r w:rsidR="00A75A09" w:rsidRPr="00CF4C2B">
        <w:rPr>
          <w:color w:val="auto"/>
        </w:rPr>
        <w:t xml:space="preserve">two columns </w:t>
      </w:r>
      <w:r w:rsidR="00ED56E0" w:rsidRPr="00CF4C2B">
        <w:rPr>
          <w:color w:val="auto"/>
        </w:rPr>
        <w:t>provide</w:t>
      </w:r>
      <w:r w:rsidR="001A2F1B" w:rsidRPr="00CF4C2B">
        <w:rPr>
          <w:color w:val="auto"/>
        </w:rPr>
        <w:t xml:space="preserve"> information from the </w:t>
      </w:r>
      <w:r w:rsidR="00A75A09" w:rsidRPr="00CF4C2B">
        <w:rPr>
          <w:color w:val="auto"/>
        </w:rPr>
        <w:t xml:space="preserve">main dataset and second column </w:t>
      </w:r>
      <w:r w:rsidR="001A2F1B" w:rsidRPr="00CF4C2B">
        <w:rPr>
          <w:color w:val="auto"/>
        </w:rPr>
        <w:t xml:space="preserve">only for the </w:t>
      </w:r>
      <w:r w:rsidR="00A75A09" w:rsidRPr="00CF4C2B">
        <w:rPr>
          <w:color w:val="auto"/>
        </w:rPr>
        <w:t xml:space="preserve">common species that were present in more than </w:t>
      </w:r>
      <w:r w:rsidR="00F20912" w:rsidRPr="00CF4C2B">
        <w:rPr>
          <w:color w:val="auto"/>
        </w:rPr>
        <w:t>4 plots (“common species”)</w:t>
      </w:r>
      <w:r w:rsidRPr="00CF4C2B">
        <w:rPr>
          <w:color w:val="auto"/>
        </w:rPr>
        <w:t xml:space="preserve"> </w:t>
      </w:r>
    </w:p>
    <w:p w14:paraId="7A154384" w14:textId="517F9094" w:rsidR="00433A81" w:rsidRPr="00CF4C2B" w:rsidRDefault="00433A81">
      <w:pPr>
        <w:rPr>
          <w:rFonts w:cstheme="minorHAnsi"/>
          <w:sz w:val="24"/>
          <w:szCs w:val="24"/>
        </w:rPr>
      </w:pPr>
    </w:p>
    <w:tbl>
      <w:tblPr>
        <w:tblW w:w="7920" w:type="dxa"/>
        <w:tblInd w:w="-5" w:type="dxa"/>
        <w:tblLook w:val="04A0" w:firstRow="1" w:lastRow="0" w:firstColumn="1" w:lastColumn="0" w:noHBand="0" w:noVBand="1"/>
      </w:tblPr>
      <w:tblGrid>
        <w:gridCol w:w="1360"/>
        <w:gridCol w:w="960"/>
        <w:gridCol w:w="1660"/>
        <w:gridCol w:w="1420"/>
        <w:gridCol w:w="1340"/>
        <w:gridCol w:w="1180"/>
      </w:tblGrid>
      <w:tr w:rsidR="00E31239" w:rsidRPr="00E31239" w14:paraId="13F3EFA6" w14:textId="77777777" w:rsidTr="00E31239">
        <w:trPr>
          <w:trHeight w:val="1200"/>
        </w:trPr>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7323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Exploratory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BCEB42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Plot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43E2619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 xml:space="preserve">Bee Total Abundance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EC779E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Bee Species Richness</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259CAA2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 xml:space="preserve">Common species - Bee Abundance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637563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Commons species - Bee Richness</w:t>
            </w:r>
          </w:p>
        </w:tc>
      </w:tr>
      <w:tr w:rsidR="00E31239" w:rsidRPr="00E31239" w14:paraId="1417C8C4" w14:textId="77777777" w:rsidTr="00E31239">
        <w:trPr>
          <w:trHeight w:val="300"/>
        </w:trPr>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103D817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Alb</w:t>
            </w:r>
          </w:p>
        </w:tc>
        <w:tc>
          <w:tcPr>
            <w:tcW w:w="960" w:type="dxa"/>
            <w:tcBorders>
              <w:top w:val="nil"/>
              <w:left w:val="nil"/>
              <w:bottom w:val="single" w:sz="4" w:space="0" w:color="auto"/>
              <w:right w:val="single" w:sz="4" w:space="0" w:color="auto"/>
            </w:tcBorders>
            <w:shd w:val="clear" w:color="auto" w:fill="auto"/>
            <w:vAlign w:val="center"/>
            <w:hideMark/>
          </w:tcPr>
          <w:p w14:paraId="229C2A4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AEG01</w:t>
            </w:r>
          </w:p>
        </w:tc>
        <w:tc>
          <w:tcPr>
            <w:tcW w:w="1660" w:type="dxa"/>
            <w:tcBorders>
              <w:top w:val="nil"/>
              <w:left w:val="nil"/>
              <w:bottom w:val="single" w:sz="4" w:space="0" w:color="auto"/>
              <w:right w:val="single" w:sz="4" w:space="0" w:color="auto"/>
            </w:tcBorders>
            <w:shd w:val="clear" w:color="auto" w:fill="auto"/>
            <w:vAlign w:val="center"/>
            <w:hideMark/>
          </w:tcPr>
          <w:p w14:paraId="5C0F28F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14:paraId="4CA405B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340" w:type="dxa"/>
            <w:tcBorders>
              <w:top w:val="nil"/>
              <w:left w:val="nil"/>
              <w:bottom w:val="single" w:sz="4" w:space="0" w:color="auto"/>
              <w:right w:val="single" w:sz="4" w:space="0" w:color="auto"/>
            </w:tcBorders>
            <w:shd w:val="clear" w:color="auto" w:fill="auto"/>
            <w:vAlign w:val="center"/>
            <w:hideMark/>
          </w:tcPr>
          <w:p w14:paraId="4B7B2F5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c>
          <w:tcPr>
            <w:tcW w:w="1180" w:type="dxa"/>
            <w:tcBorders>
              <w:top w:val="nil"/>
              <w:left w:val="nil"/>
              <w:bottom w:val="single" w:sz="4" w:space="0" w:color="auto"/>
              <w:right w:val="single" w:sz="4" w:space="0" w:color="auto"/>
            </w:tcBorders>
            <w:shd w:val="clear" w:color="auto" w:fill="auto"/>
            <w:vAlign w:val="center"/>
            <w:hideMark/>
          </w:tcPr>
          <w:p w14:paraId="4FD406D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28</w:t>
            </w:r>
          </w:p>
        </w:tc>
      </w:tr>
      <w:tr w:rsidR="00E31239" w:rsidRPr="00E31239" w14:paraId="309132FF"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F7DCC6F"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818B83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AEG03</w:t>
            </w:r>
          </w:p>
        </w:tc>
        <w:tc>
          <w:tcPr>
            <w:tcW w:w="1660" w:type="dxa"/>
            <w:tcBorders>
              <w:top w:val="nil"/>
              <w:left w:val="nil"/>
              <w:bottom w:val="single" w:sz="4" w:space="0" w:color="auto"/>
              <w:right w:val="single" w:sz="4" w:space="0" w:color="auto"/>
            </w:tcBorders>
            <w:shd w:val="clear" w:color="auto" w:fill="auto"/>
            <w:vAlign w:val="center"/>
            <w:hideMark/>
          </w:tcPr>
          <w:p w14:paraId="77609DA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97</w:t>
            </w:r>
          </w:p>
        </w:tc>
        <w:tc>
          <w:tcPr>
            <w:tcW w:w="1420" w:type="dxa"/>
            <w:tcBorders>
              <w:top w:val="nil"/>
              <w:left w:val="nil"/>
              <w:bottom w:val="single" w:sz="4" w:space="0" w:color="auto"/>
              <w:right w:val="single" w:sz="4" w:space="0" w:color="auto"/>
            </w:tcBorders>
            <w:shd w:val="clear" w:color="auto" w:fill="auto"/>
            <w:vAlign w:val="center"/>
            <w:hideMark/>
          </w:tcPr>
          <w:p w14:paraId="508CF0E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19</w:t>
            </w:r>
          </w:p>
        </w:tc>
        <w:tc>
          <w:tcPr>
            <w:tcW w:w="1340" w:type="dxa"/>
            <w:tcBorders>
              <w:top w:val="nil"/>
              <w:left w:val="nil"/>
              <w:bottom w:val="single" w:sz="4" w:space="0" w:color="auto"/>
              <w:right w:val="single" w:sz="4" w:space="0" w:color="auto"/>
            </w:tcBorders>
            <w:shd w:val="clear" w:color="auto" w:fill="auto"/>
            <w:vAlign w:val="center"/>
            <w:hideMark/>
          </w:tcPr>
          <w:p w14:paraId="4A03853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w:t>
            </w:r>
          </w:p>
        </w:tc>
        <w:tc>
          <w:tcPr>
            <w:tcW w:w="1180" w:type="dxa"/>
            <w:tcBorders>
              <w:top w:val="nil"/>
              <w:left w:val="nil"/>
              <w:bottom w:val="single" w:sz="4" w:space="0" w:color="auto"/>
              <w:right w:val="single" w:sz="4" w:space="0" w:color="auto"/>
            </w:tcBorders>
            <w:shd w:val="clear" w:color="auto" w:fill="auto"/>
            <w:vAlign w:val="center"/>
            <w:hideMark/>
          </w:tcPr>
          <w:p w14:paraId="041B90D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86</w:t>
            </w:r>
          </w:p>
        </w:tc>
      </w:tr>
      <w:tr w:rsidR="00E31239" w:rsidRPr="00E31239" w14:paraId="2BD892B8"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D5E29C4"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07528D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AEG04</w:t>
            </w:r>
          </w:p>
        </w:tc>
        <w:tc>
          <w:tcPr>
            <w:tcW w:w="1660" w:type="dxa"/>
            <w:tcBorders>
              <w:top w:val="nil"/>
              <w:left w:val="nil"/>
              <w:bottom w:val="single" w:sz="4" w:space="0" w:color="auto"/>
              <w:right w:val="single" w:sz="4" w:space="0" w:color="auto"/>
            </w:tcBorders>
            <w:shd w:val="clear" w:color="auto" w:fill="auto"/>
            <w:vAlign w:val="center"/>
            <w:hideMark/>
          </w:tcPr>
          <w:p w14:paraId="19AC4B0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46</w:t>
            </w:r>
          </w:p>
        </w:tc>
        <w:tc>
          <w:tcPr>
            <w:tcW w:w="1420" w:type="dxa"/>
            <w:tcBorders>
              <w:top w:val="nil"/>
              <w:left w:val="nil"/>
              <w:bottom w:val="single" w:sz="4" w:space="0" w:color="auto"/>
              <w:right w:val="single" w:sz="4" w:space="0" w:color="auto"/>
            </w:tcBorders>
            <w:shd w:val="clear" w:color="auto" w:fill="auto"/>
            <w:vAlign w:val="center"/>
            <w:hideMark/>
          </w:tcPr>
          <w:p w14:paraId="01C7D2C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69ED870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180" w:type="dxa"/>
            <w:tcBorders>
              <w:top w:val="nil"/>
              <w:left w:val="nil"/>
              <w:bottom w:val="single" w:sz="4" w:space="0" w:color="auto"/>
              <w:right w:val="single" w:sz="4" w:space="0" w:color="auto"/>
            </w:tcBorders>
            <w:shd w:val="clear" w:color="auto" w:fill="auto"/>
            <w:vAlign w:val="center"/>
            <w:hideMark/>
          </w:tcPr>
          <w:p w14:paraId="586167D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44</w:t>
            </w:r>
          </w:p>
        </w:tc>
      </w:tr>
      <w:tr w:rsidR="00E31239" w:rsidRPr="00E31239" w14:paraId="39EC8DB6"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2E8175DC"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7934AA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AEG06</w:t>
            </w:r>
          </w:p>
        </w:tc>
        <w:tc>
          <w:tcPr>
            <w:tcW w:w="1660" w:type="dxa"/>
            <w:tcBorders>
              <w:top w:val="nil"/>
              <w:left w:val="nil"/>
              <w:bottom w:val="single" w:sz="4" w:space="0" w:color="auto"/>
              <w:right w:val="single" w:sz="4" w:space="0" w:color="auto"/>
            </w:tcBorders>
            <w:shd w:val="clear" w:color="auto" w:fill="auto"/>
            <w:vAlign w:val="center"/>
            <w:hideMark/>
          </w:tcPr>
          <w:p w14:paraId="28A4627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w:t>
            </w:r>
          </w:p>
        </w:tc>
        <w:tc>
          <w:tcPr>
            <w:tcW w:w="1420" w:type="dxa"/>
            <w:tcBorders>
              <w:top w:val="nil"/>
              <w:left w:val="nil"/>
              <w:bottom w:val="single" w:sz="4" w:space="0" w:color="auto"/>
              <w:right w:val="single" w:sz="4" w:space="0" w:color="auto"/>
            </w:tcBorders>
            <w:shd w:val="clear" w:color="auto" w:fill="auto"/>
            <w:vAlign w:val="center"/>
            <w:hideMark/>
          </w:tcPr>
          <w:p w14:paraId="4562D2C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w:t>
            </w:r>
          </w:p>
        </w:tc>
        <w:tc>
          <w:tcPr>
            <w:tcW w:w="1340" w:type="dxa"/>
            <w:tcBorders>
              <w:top w:val="nil"/>
              <w:left w:val="nil"/>
              <w:bottom w:val="single" w:sz="4" w:space="0" w:color="auto"/>
              <w:right w:val="single" w:sz="4" w:space="0" w:color="auto"/>
            </w:tcBorders>
            <w:shd w:val="clear" w:color="auto" w:fill="auto"/>
            <w:vAlign w:val="center"/>
            <w:hideMark/>
          </w:tcPr>
          <w:p w14:paraId="7B3D5B8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w:t>
            </w:r>
          </w:p>
        </w:tc>
        <w:tc>
          <w:tcPr>
            <w:tcW w:w="1180" w:type="dxa"/>
            <w:tcBorders>
              <w:top w:val="nil"/>
              <w:left w:val="nil"/>
              <w:bottom w:val="single" w:sz="4" w:space="0" w:color="auto"/>
              <w:right w:val="single" w:sz="4" w:space="0" w:color="auto"/>
            </w:tcBorders>
            <w:shd w:val="clear" w:color="auto" w:fill="auto"/>
            <w:vAlign w:val="center"/>
            <w:hideMark/>
          </w:tcPr>
          <w:p w14:paraId="7BEC790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r>
      <w:tr w:rsidR="00E31239" w:rsidRPr="00E31239" w14:paraId="16CCCF97"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3055C8E"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FBC7A7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AEG07</w:t>
            </w:r>
          </w:p>
        </w:tc>
        <w:tc>
          <w:tcPr>
            <w:tcW w:w="1660" w:type="dxa"/>
            <w:tcBorders>
              <w:top w:val="nil"/>
              <w:left w:val="nil"/>
              <w:bottom w:val="single" w:sz="4" w:space="0" w:color="auto"/>
              <w:right w:val="single" w:sz="4" w:space="0" w:color="auto"/>
            </w:tcBorders>
            <w:shd w:val="clear" w:color="auto" w:fill="auto"/>
            <w:vAlign w:val="center"/>
            <w:hideMark/>
          </w:tcPr>
          <w:p w14:paraId="3CB320F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41</w:t>
            </w:r>
          </w:p>
        </w:tc>
        <w:tc>
          <w:tcPr>
            <w:tcW w:w="1420" w:type="dxa"/>
            <w:tcBorders>
              <w:top w:val="nil"/>
              <w:left w:val="nil"/>
              <w:bottom w:val="single" w:sz="4" w:space="0" w:color="auto"/>
              <w:right w:val="single" w:sz="4" w:space="0" w:color="auto"/>
            </w:tcBorders>
            <w:shd w:val="clear" w:color="auto" w:fill="auto"/>
            <w:vAlign w:val="center"/>
            <w:hideMark/>
          </w:tcPr>
          <w:p w14:paraId="3F056A1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340" w:type="dxa"/>
            <w:tcBorders>
              <w:top w:val="nil"/>
              <w:left w:val="nil"/>
              <w:bottom w:val="single" w:sz="4" w:space="0" w:color="auto"/>
              <w:right w:val="single" w:sz="4" w:space="0" w:color="auto"/>
            </w:tcBorders>
            <w:shd w:val="clear" w:color="auto" w:fill="auto"/>
            <w:vAlign w:val="center"/>
            <w:hideMark/>
          </w:tcPr>
          <w:p w14:paraId="4DC4E36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14:paraId="1555C75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39</w:t>
            </w:r>
          </w:p>
        </w:tc>
      </w:tr>
      <w:tr w:rsidR="00E31239" w:rsidRPr="00E31239" w14:paraId="5195021C"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A4480D0"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10E84C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AEG09</w:t>
            </w:r>
          </w:p>
        </w:tc>
        <w:tc>
          <w:tcPr>
            <w:tcW w:w="1660" w:type="dxa"/>
            <w:tcBorders>
              <w:top w:val="nil"/>
              <w:left w:val="nil"/>
              <w:bottom w:val="single" w:sz="4" w:space="0" w:color="auto"/>
              <w:right w:val="single" w:sz="4" w:space="0" w:color="auto"/>
            </w:tcBorders>
            <w:shd w:val="clear" w:color="auto" w:fill="auto"/>
            <w:vAlign w:val="center"/>
            <w:hideMark/>
          </w:tcPr>
          <w:p w14:paraId="6509931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54</w:t>
            </w:r>
          </w:p>
        </w:tc>
        <w:tc>
          <w:tcPr>
            <w:tcW w:w="1420" w:type="dxa"/>
            <w:tcBorders>
              <w:top w:val="nil"/>
              <w:left w:val="nil"/>
              <w:bottom w:val="single" w:sz="4" w:space="0" w:color="auto"/>
              <w:right w:val="single" w:sz="4" w:space="0" w:color="auto"/>
            </w:tcBorders>
            <w:shd w:val="clear" w:color="auto" w:fill="auto"/>
            <w:vAlign w:val="center"/>
            <w:hideMark/>
          </w:tcPr>
          <w:p w14:paraId="3B5E069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19</w:t>
            </w:r>
          </w:p>
        </w:tc>
        <w:tc>
          <w:tcPr>
            <w:tcW w:w="1340" w:type="dxa"/>
            <w:tcBorders>
              <w:top w:val="nil"/>
              <w:left w:val="nil"/>
              <w:bottom w:val="single" w:sz="4" w:space="0" w:color="auto"/>
              <w:right w:val="single" w:sz="4" w:space="0" w:color="auto"/>
            </w:tcBorders>
            <w:shd w:val="clear" w:color="auto" w:fill="auto"/>
            <w:vAlign w:val="center"/>
            <w:hideMark/>
          </w:tcPr>
          <w:p w14:paraId="2130CCF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180" w:type="dxa"/>
            <w:tcBorders>
              <w:top w:val="nil"/>
              <w:left w:val="nil"/>
              <w:bottom w:val="single" w:sz="4" w:space="0" w:color="auto"/>
              <w:right w:val="single" w:sz="4" w:space="0" w:color="auto"/>
            </w:tcBorders>
            <w:shd w:val="clear" w:color="auto" w:fill="auto"/>
            <w:vAlign w:val="center"/>
            <w:hideMark/>
          </w:tcPr>
          <w:p w14:paraId="6834EDD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40</w:t>
            </w:r>
          </w:p>
        </w:tc>
      </w:tr>
      <w:tr w:rsidR="00E31239" w:rsidRPr="00E31239" w14:paraId="020E3E2C"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C7EBE11"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054E807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AEG12</w:t>
            </w:r>
          </w:p>
        </w:tc>
        <w:tc>
          <w:tcPr>
            <w:tcW w:w="1660" w:type="dxa"/>
            <w:tcBorders>
              <w:top w:val="nil"/>
              <w:left w:val="nil"/>
              <w:bottom w:val="single" w:sz="4" w:space="0" w:color="auto"/>
              <w:right w:val="single" w:sz="4" w:space="0" w:color="auto"/>
            </w:tcBorders>
            <w:shd w:val="clear" w:color="auto" w:fill="auto"/>
            <w:vAlign w:val="center"/>
            <w:hideMark/>
          </w:tcPr>
          <w:p w14:paraId="2FA363D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31</w:t>
            </w:r>
          </w:p>
        </w:tc>
        <w:tc>
          <w:tcPr>
            <w:tcW w:w="1420" w:type="dxa"/>
            <w:tcBorders>
              <w:top w:val="nil"/>
              <w:left w:val="nil"/>
              <w:bottom w:val="single" w:sz="4" w:space="0" w:color="auto"/>
              <w:right w:val="single" w:sz="4" w:space="0" w:color="auto"/>
            </w:tcBorders>
            <w:shd w:val="clear" w:color="auto" w:fill="auto"/>
            <w:vAlign w:val="center"/>
            <w:hideMark/>
          </w:tcPr>
          <w:p w14:paraId="2A393C2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14:paraId="70C5FF0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w:t>
            </w:r>
          </w:p>
        </w:tc>
        <w:tc>
          <w:tcPr>
            <w:tcW w:w="1180" w:type="dxa"/>
            <w:tcBorders>
              <w:top w:val="nil"/>
              <w:left w:val="nil"/>
              <w:bottom w:val="single" w:sz="4" w:space="0" w:color="auto"/>
              <w:right w:val="single" w:sz="4" w:space="0" w:color="auto"/>
            </w:tcBorders>
            <w:shd w:val="clear" w:color="auto" w:fill="auto"/>
            <w:vAlign w:val="center"/>
            <w:hideMark/>
          </w:tcPr>
          <w:p w14:paraId="76D5C5B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29</w:t>
            </w:r>
          </w:p>
        </w:tc>
      </w:tr>
      <w:tr w:rsidR="00E31239" w:rsidRPr="00E31239" w14:paraId="08095445"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7773BEE0"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2E6E8D9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AEG17</w:t>
            </w:r>
          </w:p>
        </w:tc>
        <w:tc>
          <w:tcPr>
            <w:tcW w:w="1660" w:type="dxa"/>
            <w:tcBorders>
              <w:top w:val="nil"/>
              <w:left w:val="nil"/>
              <w:bottom w:val="single" w:sz="4" w:space="0" w:color="auto"/>
              <w:right w:val="single" w:sz="4" w:space="0" w:color="auto"/>
            </w:tcBorders>
            <w:shd w:val="clear" w:color="auto" w:fill="auto"/>
            <w:vAlign w:val="center"/>
            <w:hideMark/>
          </w:tcPr>
          <w:p w14:paraId="623BA2B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40</w:t>
            </w:r>
          </w:p>
        </w:tc>
        <w:tc>
          <w:tcPr>
            <w:tcW w:w="1420" w:type="dxa"/>
            <w:tcBorders>
              <w:top w:val="nil"/>
              <w:left w:val="nil"/>
              <w:bottom w:val="single" w:sz="4" w:space="0" w:color="auto"/>
              <w:right w:val="single" w:sz="4" w:space="0" w:color="auto"/>
            </w:tcBorders>
            <w:shd w:val="clear" w:color="auto" w:fill="auto"/>
            <w:vAlign w:val="center"/>
            <w:hideMark/>
          </w:tcPr>
          <w:p w14:paraId="24DE28C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w:t>
            </w:r>
          </w:p>
        </w:tc>
        <w:tc>
          <w:tcPr>
            <w:tcW w:w="1340" w:type="dxa"/>
            <w:tcBorders>
              <w:top w:val="nil"/>
              <w:left w:val="nil"/>
              <w:bottom w:val="single" w:sz="4" w:space="0" w:color="auto"/>
              <w:right w:val="single" w:sz="4" w:space="0" w:color="auto"/>
            </w:tcBorders>
            <w:shd w:val="clear" w:color="auto" w:fill="auto"/>
            <w:vAlign w:val="center"/>
            <w:hideMark/>
          </w:tcPr>
          <w:p w14:paraId="79CF8CD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180" w:type="dxa"/>
            <w:tcBorders>
              <w:top w:val="nil"/>
              <w:left w:val="nil"/>
              <w:bottom w:val="single" w:sz="4" w:space="0" w:color="auto"/>
              <w:right w:val="single" w:sz="4" w:space="0" w:color="auto"/>
            </w:tcBorders>
            <w:shd w:val="clear" w:color="auto" w:fill="auto"/>
            <w:vAlign w:val="center"/>
            <w:hideMark/>
          </w:tcPr>
          <w:p w14:paraId="2A5B34E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37</w:t>
            </w:r>
          </w:p>
        </w:tc>
      </w:tr>
      <w:tr w:rsidR="00E31239" w:rsidRPr="00E31239" w14:paraId="06E60603"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8F28014"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A28752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AEG24</w:t>
            </w:r>
          </w:p>
        </w:tc>
        <w:tc>
          <w:tcPr>
            <w:tcW w:w="1660" w:type="dxa"/>
            <w:tcBorders>
              <w:top w:val="nil"/>
              <w:left w:val="nil"/>
              <w:bottom w:val="single" w:sz="4" w:space="0" w:color="auto"/>
              <w:right w:val="single" w:sz="4" w:space="0" w:color="auto"/>
            </w:tcBorders>
            <w:shd w:val="clear" w:color="auto" w:fill="auto"/>
            <w:vAlign w:val="center"/>
            <w:hideMark/>
          </w:tcPr>
          <w:p w14:paraId="3D22421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60</w:t>
            </w:r>
          </w:p>
        </w:tc>
        <w:tc>
          <w:tcPr>
            <w:tcW w:w="1420" w:type="dxa"/>
            <w:tcBorders>
              <w:top w:val="nil"/>
              <w:left w:val="nil"/>
              <w:bottom w:val="single" w:sz="4" w:space="0" w:color="auto"/>
              <w:right w:val="single" w:sz="4" w:space="0" w:color="auto"/>
            </w:tcBorders>
            <w:shd w:val="clear" w:color="auto" w:fill="auto"/>
            <w:vAlign w:val="center"/>
            <w:hideMark/>
          </w:tcPr>
          <w:p w14:paraId="664F252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w:t>
            </w:r>
          </w:p>
        </w:tc>
        <w:tc>
          <w:tcPr>
            <w:tcW w:w="1340" w:type="dxa"/>
            <w:tcBorders>
              <w:top w:val="nil"/>
              <w:left w:val="nil"/>
              <w:bottom w:val="single" w:sz="4" w:space="0" w:color="auto"/>
              <w:right w:val="single" w:sz="4" w:space="0" w:color="auto"/>
            </w:tcBorders>
            <w:shd w:val="clear" w:color="auto" w:fill="auto"/>
            <w:vAlign w:val="center"/>
            <w:hideMark/>
          </w:tcPr>
          <w:p w14:paraId="05523CF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180" w:type="dxa"/>
            <w:tcBorders>
              <w:top w:val="nil"/>
              <w:left w:val="nil"/>
              <w:bottom w:val="single" w:sz="4" w:space="0" w:color="auto"/>
              <w:right w:val="single" w:sz="4" w:space="0" w:color="auto"/>
            </w:tcBorders>
            <w:shd w:val="clear" w:color="auto" w:fill="auto"/>
            <w:vAlign w:val="center"/>
            <w:hideMark/>
          </w:tcPr>
          <w:p w14:paraId="3EF98EB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59</w:t>
            </w:r>
          </w:p>
        </w:tc>
      </w:tr>
      <w:tr w:rsidR="00E31239" w:rsidRPr="00E31239" w14:paraId="3FFA3DC6"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18165A6"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1C2572D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AEG46</w:t>
            </w:r>
          </w:p>
        </w:tc>
        <w:tc>
          <w:tcPr>
            <w:tcW w:w="1660" w:type="dxa"/>
            <w:tcBorders>
              <w:top w:val="nil"/>
              <w:left w:val="nil"/>
              <w:bottom w:val="single" w:sz="4" w:space="0" w:color="auto"/>
              <w:right w:val="single" w:sz="4" w:space="0" w:color="auto"/>
            </w:tcBorders>
            <w:shd w:val="clear" w:color="auto" w:fill="auto"/>
            <w:vAlign w:val="center"/>
            <w:hideMark/>
          </w:tcPr>
          <w:p w14:paraId="63B44EC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55</w:t>
            </w:r>
          </w:p>
        </w:tc>
        <w:tc>
          <w:tcPr>
            <w:tcW w:w="1420" w:type="dxa"/>
            <w:tcBorders>
              <w:top w:val="nil"/>
              <w:left w:val="nil"/>
              <w:bottom w:val="single" w:sz="4" w:space="0" w:color="auto"/>
              <w:right w:val="single" w:sz="4" w:space="0" w:color="auto"/>
            </w:tcBorders>
            <w:shd w:val="clear" w:color="auto" w:fill="auto"/>
            <w:vAlign w:val="center"/>
            <w:hideMark/>
          </w:tcPr>
          <w:p w14:paraId="173F98A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7DD0803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180" w:type="dxa"/>
            <w:tcBorders>
              <w:top w:val="nil"/>
              <w:left w:val="nil"/>
              <w:bottom w:val="single" w:sz="4" w:space="0" w:color="auto"/>
              <w:right w:val="single" w:sz="4" w:space="0" w:color="auto"/>
            </w:tcBorders>
            <w:shd w:val="clear" w:color="auto" w:fill="auto"/>
            <w:vAlign w:val="center"/>
            <w:hideMark/>
          </w:tcPr>
          <w:p w14:paraId="42D351E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52</w:t>
            </w:r>
          </w:p>
        </w:tc>
      </w:tr>
      <w:tr w:rsidR="00E31239" w:rsidRPr="00E31239" w14:paraId="05671F57" w14:textId="77777777" w:rsidTr="00E31239">
        <w:trPr>
          <w:trHeight w:val="300"/>
        </w:trPr>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7E209E8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Belgium</w:t>
            </w:r>
          </w:p>
        </w:tc>
        <w:tc>
          <w:tcPr>
            <w:tcW w:w="960" w:type="dxa"/>
            <w:tcBorders>
              <w:top w:val="nil"/>
              <w:left w:val="nil"/>
              <w:bottom w:val="single" w:sz="4" w:space="0" w:color="auto"/>
              <w:right w:val="single" w:sz="4" w:space="0" w:color="auto"/>
            </w:tcBorders>
            <w:shd w:val="clear" w:color="auto" w:fill="auto"/>
            <w:vAlign w:val="center"/>
            <w:hideMark/>
          </w:tcPr>
          <w:p w14:paraId="446DC94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BELAS</w:t>
            </w:r>
          </w:p>
        </w:tc>
        <w:tc>
          <w:tcPr>
            <w:tcW w:w="1660" w:type="dxa"/>
            <w:tcBorders>
              <w:top w:val="nil"/>
              <w:left w:val="nil"/>
              <w:bottom w:val="single" w:sz="4" w:space="0" w:color="auto"/>
              <w:right w:val="single" w:sz="4" w:space="0" w:color="auto"/>
            </w:tcBorders>
            <w:shd w:val="clear" w:color="auto" w:fill="auto"/>
            <w:vAlign w:val="center"/>
            <w:hideMark/>
          </w:tcPr>
          <w:p w14:paraId="42D0745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136</w:t>
            </w:r>
          </w:p>
        </w:tc>
        <w:tc>
          <w:tcPr>
            <w:tcW w:w="1420" w:type="dxa"/>
            <w:tcBorders>
              <w:top w:val="nil"/>
              <w:left w:val="nil"/>
              <w:bottom w:val="single" w:sz="4" w:space="0" w:color="auto"/>
              <w:right w:val="single" w:sz="4" w:space="0" w:color="auto"/>
            </w:tcBorders>
            <w:shd w:val="clear" w:color="auto" w:fill="auto"/>
            <w:vAlign w:val="center"/>
            <w:hideMark/>
          </w:tcPr>
          <w:p w14:paraId="520C715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26</w:t>
            </w:r>
          </w:p>
        </w:tc>
        <w:tc>
          <w:tcPr>
            <w:tcW w:w="1340" w:type="dxa"/>
            <w:tcBorders>
              <w:top w:val="nil"/>
              <w:left w:val="nil"/>
              <w:bottom w:val="single" w:sz="4" w:space="0" w:color="auto"/>
              <w:right w:val="single" w:sz="4" w:space="0" w:color="auto"/>
            </w:tcBorders>
            <w:shd w:val="clear" w:color="auto" w:fill="auto"/>
            <w:vAlign w:val="center"/>
            <w:hideMark/>
          </w:tcPr>
          <w:p w14:paraId="42641B5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22</w:t>
            </w:r>
          </w:p>
        </w:tc>
        <w:tc>
          <w:tcPr>
            <w:tcW w:w="1180" w:type="dxa"/>
            <w:tcBorders>
              <w:top w:val="nil"/>
              <w:left w:val="nil"/>
              <w:bottom w:val="single" w:sz="4" w:space="0" w:color="auto"/>
              <w:right w:val="single" w:sz="4" w:space="0" w:color="auto"/>
            </w:tcBorders>
            <w:shd w:val="clear" w:color="auto" w:fill="auto"/>
            <w:vAlign w:val="center"/>
            <w:hideMark/>
          </w:tcPr>
          <w:p w14:paraId="157A06E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131</w:t>
            </w:r>
          </w:p>
        </w:tc>
      </w:tr>
      <w:tr w:rsidR="00E31239" w:rsidRPr="00E31239" w14:paraId="36BDD446"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029FD28"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5E1DC5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BELDB</w:t>
            </w:r>
          </w:p>
        </w:tc>
        <w:tc>
          <w:tcPr>
            <w:tcW w:w="1660" w:type="dxa"/>
            <w:tcBorders>
              <w:top w:val="nil"/>
              <w:left w:val="nil"/>
              <w:bottom w:val="single" w:sz="4" w:space="0" w:color="auto"/>
              <w:right w:val="single" w:sz="4" w:space="0" w:color="auto"/>
            </w:tcBorders>
            <w:shd w:val="clear" w:color="auto" w:fill="auto"/>
            <w:vAlign w:val="center"/>
            <w:hideMark/>
          </w:tcPr>
          <w:p w14:paraId="04CEFCA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88</w:t>
            </w:r>
          </w:p>
        </w:tc>
        <w:tc>
          <w:tcPr>
            <w:tcW w:w="1420" w:type="dxa"/>
            <w:tcBorders>
              <w:top w:val="nil"/>
              <w:left w:val="nil"/>
              <w:bottom w:val="single" w:sz="4" w:space="0" w:color="auto"/>
              <w:right w:val="single" w:sz="4" w:space="0" w:color="auto"/>
            </w:tcBorders>
            <w:shd w:val="clear" w:color="auto" w:fill="auto"/>
            <w:vAlign w:val="center"/>
            <w:hideMark/>
          </w:tcPr>
          <w:p w14:paraId="13BE6C1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17</w:t>
            </w:r>
          </w:p>
        </w:tc>
        <w:tc>
          <w:tcPr>
            <w:tcW w:w="1340" w:type="dxa"/>
            <w:tcBorders>
              <w:top w:val="nil"/>
              <w:left w:val="nil"/>
              <w:bottom w:val="single" w:sz="4" w:space="0" w:color="auto"/>
              <w:right w:val="single" w:sz="4" w:space="0" w:color="auto"/>
            </w:tcBorders>
            <w:shd w:val="clear" w:color="auto" w:fill="auto"/>
            <w:vAlign w:val="center"/>
            <w:hideMark/>
          </w:tcPr>
          <w:p w14:paraId="0B46037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15</w:t>
            </w:r>
          </w:p>
        </w:tc>
        <w:tc>
          <w:tcPr>
            <w:tcW w:w="1180" w:type="dxa"/>
            <w:tcBorders>
              <w:top w:val="nil"/>
              <w:left w:val="nil"/>
              <w:bottom w:val="single" w:sz="4" w:space="0" w:color="auto"/>
              <w:right w:val="single" w:sz="4" w:space="0" w:color="auto"/>
            </w:tcBorders>
            <w:shd w:val="clear" w:color="auto" w:fill="auto"/>
            <w:vAlign w:val="center"/>
            <w:hideMark/>
          </w:tcPr>
          <w:p w14:paraId="17FF431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86</w:t>
            </w:r>
          </w:p>
        </w:tc>
      </w:tr>
      <w:tr w:rsidR="00E31239" w:rsidRPr="00E31239" w14:paraId="04F66F25"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2B855221"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4AC878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BELDBE</w:t>
            </w:r>
          </w:p>
        </w:tc>
        <w:tc>
          <w:tcPr>
            <w:tcW w:w="1660" w:type="dxa"/>
            <w:tcBorders>
              <w:top w:val="nil"/>
              <w:left w:val="nil"/>
              <w:bottom w:val="single" w:sz="4" w:space="0" w:color="auto"/>
              <w:right w:val="single" w:sz="4" w:space="0" w:color="auto"/>
            </w:tcBorders>
            <w:shd w:val="clear" w:color="auto" w:fill="auto"/>
            <w:vAlign w:val="center"/>
            <w:hideMark/>
          </w:tcPr>
          <w:p w14:paraId="59D7B06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123</w:t>
            </w:r>
          </w:p>
        </w:tc>
        <w:tc>
          <w:tcPr>
            <w:tcW w:w="1420" w:type="dxa"/>
            <w:tcBorders>
              <w:top w:val="nil"/>
              <w:left w:val="nil"/>
              <w:bottom w:val="single" w:sz="4" w:space="0" w:color="auto"/>
              <w:right w:val="single" w:sz="4" w:space="0" w:color="auto"/>
            </w:tcBorders>
            <w:shd w:val="clear" w:color="auto" w:fill="auto"/>
            <w:vAlign w:val="center"/>
            <w:hideMark/>
          </w:tcPr>
          <w:p w14:paraId="4296B33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27</w:t>
            </w:r>
          </w:p>
        </w:tc>
        <w:tc>
          <w:tcPr>
            <w:tcW w:w="1340" w:type="dxa"/>
            <w:tcBorders>
              <w:top w:val="nil"/>
              <w:left w:val="nil"/>
              <w:bottom w:val="single" w:sz="4" w:space="0" w:color="auto"/>
              <w:right w:val="single" w:sz="4" w:space="0" w:color="auto"/>
            </w:tcBorders>
            <w:shd w:val="clear" w:color="auto" w:fill="auto"/>
            <w:vAlign w:val="center"/>
            <w:hideMark/>
          </w:tcPr>
          <w:p w14:paraId="2A65F20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22</w:t>
            </w:r>
          </w:p>
        </w:tc>
        <w:tc>
          <w:tcPr>
            <w:tcW w:w="1180" w:type="dxa"/>
            <w:tcBorders>
              <w:top w:val="nil"/>
              <w:left w:val="nil"/>
              <w:bottom w:val="single" w:sz="4" w:space="0" w:color="auto"/>
              <w:right w:val="single" w:sz="4" w:space="0" w:color="auto"/>
            </w:tcBorders>
            <w:shd w:val="clear" w:color="auto" w:fill="auto"/>
            <w:vAlign w:val="center"/>
            <w:hideMark/>
          </w:tcPr>
          <w:p w14:paraId="24023D4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111</w:t>
            </w:r>
          </w:p>
        </w:tc>
      </w:tr>
      <w:tr w:rsidR="00E31239" w:rsidRPr="00E31239" w14:paraId="79FF446F"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7D128C72"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BA2DF7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BELHB</w:t>
            </w:r>
          </w:p>
        </w:tc>
        <w:tc>
          <w:tcPr>
            <w:tcW w:w="1660" w:type="dxa"/>
            <w:tcBorders>
              <w:top w:val="nil"/>
              <w:left w:val="nil"/>
              <w:bottom w:val="single" w:sz="4" w:space="0" w:color="auto"/>
              <w:right w:val="single" w:sz="4" w:space="0" w:color="auto"/>
            </w:tcBorders>
            <w:shd w:val="clear" w:color="auto" w:fill="auto"/>
            <w:vAlign w:val="center"/>
            <w:hideMark/>
          </w:tcPr>
          <w:p w14:paraId="42646B7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42</w:t>
            </w:r>
          </w:p>
        </w:tc>
        <w:tc>
          <w:tcPr>
            <w:tcW w:w="1420" w:type="dxa"/>
            <w:tcBorders>
              <w:top w:val="nil"/>
              <w:left w:val="nil"/>
              <w:bottom w:val="single" w:sz="4" w:space="0" w:color="auto"/>
              <w:right w:val="single" w:sz="4" w:space="0" w:color="auto"/>
            </w:tcBorders>
            <w:shd w:val="clear" w:color="auto" w:fill="auto"/>
            <w:vAlign w:val="center"/>
            <w:hideMark/>
          </w:tcPr>
          <w:p w14:paraId="217AAE4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16</w:t>
            </w:r>
          </w:p>
        </w:tc>
        <w:tc>
          <w:tcPr>
            <w:tcW w:w="1340" w:type="dxa"/>
            <w:tcBorders>
              <w:top w:val="nil"/>
              <w:left w:val="nil"/>
              <w:bottom w:val="single" w:sz="4" w:space="0" w:color="auto"/>
              <w:right w:val="single" w:sz="4" w:space="0" w:color="auto"/>
            </w:tcBorders>
            <w:shd w:val="clear" w:color="auto" w:fill="auto"/>
            <w:vAlign w:val="center"/>
            <w:hideMark/>
          </w:tcPr>
          <w:p w14:paraId="7A7BFC8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15</w:t>
            </w:r>
          </w:p>
        </w:tc>
        <w:tc>
          <w:tcPr>
            <w:tcW w:w="1180" w:type="dxa"/>
            <w:tcBorders>
              <w:top w:val="nil"/>
              <w:left w:val="nil"/>
              <w:bottom w:val="single" w:sz="4" w:space="0" w:color="auto"/>
              <w:right w:val="single" w:sz="4" w:space="0" w:color="auto"/>
            </w:tcBorders>
            <w:shd w:val="clear" w:color="auto" w:fill="auto"/>
            <w:vAlign w:val="center"/>
            <w:hideMark/>
          </w:tcPr>
          <w:p w14:paraId="0192DB9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41</w:t>
            </w:r>
          </w:p>
        </w:tc>
      </w:tr>
      <w:tr w:rsidR="00E31239" w:rsidRPr="00E31239" w14:paraId="585FBA50"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0F15DF2"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56ADE97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BELKH</w:t>
            </w:r>
          </w:p>
        </w:tc>
        <w:tc>
          <w:tcPr>
            <w:tcW w:w="1660" w:type="dxa"/>
            <w:tcBorders>
              <w:top w:val="nil"/>
              <w:left w:val="nil"/>
              <w:bottom w:val="single" w:sz="4" w:space="0" w:color="auto"/>
              <w:right w:val="single" w:sz="4" w:space="0" w:color="auto"/>
            </w:tcBorders>
            <w:shd w:val="clear" w:color="auto" w:fill="auto"/>
            <w:vAlign w:val="center"/>
            <w:hideMark/>
          </w:tcPr>
          <w:p w14:paraId="68E1C72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63</w:t>
            </w:r>
          </w:p>
        </w:tc>
        <w:tc>
          <w:tcPr>
            <w:tcW w:w="1420" w:type="dxa"/>
            <w:tcBorders>
              <w:top w:val="nil"/>
              <w:left w:val="nil"/>
              <w:bottom w:val="single" w:sz="4" w:space="0" w:color="auto"/>
              <w:right w:val="single" w:sz="4" w:space="0" w:color="auto"/>
            </w:tcBorders>
            <w:shd w:val="clear" w:color="auto" w:fill="auto"/>
            <w:vAlign w:val="center"/>
            <w:hideMark/>
          </w:tcPr>
          <w:p w14:paraId="38A11B7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24</w:t>
            </w:r>
          </w:p>
        </w:tc>
        <w:tc>
          <w:tcPr>
            <w:tcW w:w="1340" w:type="dxa"/>
            <w:tcBorders>
              <w:top w:val="nil"/>
              <w:left w:val="nil"/>
              <w:bottom w:val="single" w:sz="4" w:space="0" w:color="auto"/>
              <w:right w:val="single" w:sz="4" w:space="0" w:color="auto"/>
            </w:tcBorders>
            <w:shd w:val="clear" w:color="auto" w:fill="auto"/>
            <w:vAlign w:val="center"/>
            <w:hideMark/>
          </w:tcPr>
          <w:p w14:paraId="17A7CCA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180" w:type="dxa"/>
            <w:tcBorders>
              <w:top w:val="nil"/>
              <w:left w:val="nil"/>
              <w:bottom w:val="single" w:sz="4" w:space="0" w:color="auto"/>
              <w:right w:val="single" w:sz="4" w:space="0" w:color="auto"/>
            </w:tcBorders>
            <w:shd w:val="clear" w:color="auto" w:fill="auto"/>
            <w:vAlign w:val="center"/>
            <w:hideMark/>
          </w:tcPr>
          <w:p w14:paraId="1B63A28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49</w:t>
            </w:r>
          </w:p>
        </w:tc>
      </w:tr>
      <w:tr w:rsidR="00E31239" w:rsidRPr="00E31239" w14:paraId="1AFCC273"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B7B66A7"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781DFB7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BELMJ</w:t>
            </w:r>
          </w:p>
        </w:tc>
        <w:tc>
          <w:tcPr>
            <w:tcW w:w="1660" w:type="dxa"/>
            <w:tcBorders>
              <w:top w:val="nil"/>
              <w:left w:val="nil"/>
              <w:bottom w:val="single" w:sz="4" w:space="0" w:color="auto"/>
              <w:right w:val="single" w:sz="4" w:space="0" w:color="auto"/>
            </w:tcBorders>
            <w:shd w:val="clear" w:color="auto" w:fill="auto"/>
            <w:vAlign w:val="center"/>
            <w:hideMark/>
          </w:tcPr>
          <w:p w14:paraId="31450C8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103</w:t>
            </w:r>
          </w:p>
        </w:tc>
        <w:tc>
          <w:tcPr>
            <w:tcW w:w="1420" w:type="dxa"/>
            <w:tcBorders>
              <w:top w:val="nil"/>
              <w:left w:val="nil"/>
              <w:bottom w:val="single" w:sz="4" w:space="0" w:color="auto"/>
              <w:right w:val="single" w:sz="4" w:space="0" w:color="auto"/>
            </w:tcBorders>
            <w:shd w:val="clear" w:color="auto" w:fill="auto"/>
            <w:vAlign w:val="center"/>
            <w:hideMark/>
          </w:tcPr>
          <w:p w14:paraId="40FE5A1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29</w:t>
            </w:r>
          </w:p>
        </w:tc>
        <w:tc>
          <w:tcPr>
            <w:tcW w:w="1340" w:type="dxa"/>
            <w:tcBorders>
              <w:top w:val="nil"/>
              <w:left w:val="nil"/>
              <w:bottom w:val="single" w:sz="4" w:space="0" w:color="auto"/>
              <w:right w:val="single" w:sz="4" w:space="0" w:color="auto"/>
            </w:tcBorders>
            <w:shd w:val="clear" w:color="auto" w:fill="auto"/>
            <w:vAlign w:val="center"/>
            <w:hideMark/>
          </w:tcPr>
          <w:p w14:paraId="78D3871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24</w:t>
            </w:r>
          </w:p>
        </w:tc>
        <w:tc>
          <w:tcPr>
            <w:tcW w:w="1180" w:type="dxa"/>
            <w:tcBorders>
              <w:top w:val="nil"/>
              <w:left w:val="nil"/>
              <w:bottom w:val="single" w:sz="4" w:space="0" w:color="auto"/>
              <w:right w:val="single" w:sz="4" w:space="0" w:color="auto"/>
            </w:tcBorders>
            <w:shd w:val="clear" w:color="auto" w:fill="auto"/>
            <w:vAlign w:val="center"/>
            <w:hideMark/>
          </w:tcPr>
          <w:p w14:paraId="65F2498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97</w:t>
            </w:r>
          </w:p>
        </w:tc>
      </w:tr>
      <w:tr w:rsidR="00E31239" w:rsidRPr="00E31239" w14:paraId="66594028"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DBC84E6"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7443649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BELOP</w:t>
            </w:r>
          </w:p>
        </w:tc>
        <w:tc>
          <w:tcPr>
            <w:tcW w:w="1660" w:type="dxa"/>
            <w:tcBorders>
              <w:top w:val="nil"/>
              <w:left w:val="nil"/>
              <w:bottom w:val="single" w:sz="4" w:space="0" w:color="auto"/>
              <w:right w:val="single" w:sz="4" w:space="0" w:color="auto"/>
            </w:tcBorders>
            <w:shd w:val="clear" w:color="auto" w:fill="auto"/>
            <w:vAlign w:val="center"/>
            <w:hideMark/>
          </w:tcPr>
          <w:p w14:paraId="5875CFA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103</w:t>
            </w:r>
          </w:p>
        </w:tc>
        <w:tc>
          <w:tcPr>
            <w:tcW w:w="1420" w:type="dxa"/>
            <w:tcBorders>
              <w:top w:val="nil"/>
              <w:left w:val="nil"/>
              <w:bottom w:val="single" w:sz="4" w:space="0" w:color="auto"/>
              <w:right w:val="single" w:sz="4" w:space="0" w:color="auto"/>
            </w:tcBorders>
            <w:shd w:val="clear" w:color="auto" w:fill="auto"/>
            <w:vAlign w:val="center"/>
            <w:hideMark/>
          </w:tcPr>
          <w:p w14:paraId="3AAB8CA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24</w:t>
            </w:r>
          </w:p>
        </w:tc>
        <w:tc>
          <w:tcPr>
            <w:tcW w:w="1340" w:type="dxa"/>
            <w:tcBorders>
              <w:top w:val="nil"/>
              <w:left w:val="nil"/>
              <w:bottom w:val="single" w:sz="4" w:space="0" w:color="auto"/>
              <w:right w:val="single" w:sz="4" w:space="0" w:color="auto"/>
            </w:tcBorders>
            <w:shd w:val="clear" w:color="auto" w:fill="auto"/>
            <w:vAlign w:val="center"/>
            <w:hideMark/>
          </w:tcPr>
          <w:p w14:paraId="623F1CA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21</w:t>
            </w:r>
          </w:p>
        </w:tc>
        <w:tc>
          <w:tcPr>
            <w:tcW w:w="1180" w:type="dxa"/>
            <w:tcBorders>
              <w:top w:val="nil"/>
              <w:left w:val="nil"/>
              <w:bottom w:val="single" w:sz="4" w:space="0" w:color="auto"/>
              <w:right w:val="single" w:sz="4" w:space="0" w:color="auto"/>
            </w:tcBorders>
            <w:shd w:val="clear" w:color="auto" w:fill="auto"/>
            <w:vAlign w:val="center"/>
            <w:hideMark/>
          </w:tcPr>
          <w:p w14:paraId="2A3C4CC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100</w:t>
            </w:r>
          </w:p>
        </w:tc>
      </w:tr>
      <w:tr w:rsidR="00E31239" w:rsidRPr="00E31239" w14:paraId="25E1DE1B"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08FF39A4"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2530CC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BELRD</w:t>
            </w:r>
          </w:p>
        </w:tc>
        <w:tc>
          <w:tcPr>
            <w:tcW w:w="1660" w:type="dxa"/>
            <w:tcBorders>
              <w:top w:val="nil"/>
              <w:left w:val="nil"/>
              <w:bottom w:val="single" w:sz="4" w:space="0" w:color="auto"/>
              <w:right w:val="single" w:sz="4" w:space="0" w:color="auto"/>
            </w:tcBorders>
            <w:shd w:val="clear" w:color="auto" w:fill="auto"/>
            <w:vAlign w:val="center"/>
            <w:hideMark/>
          </w:tcPr>
          <w:p w14:paraId="071D79E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87</w:t>
            </w:r>
          </w:p>
        </w:tc>
        <w:tc>
          <w:tcPr>
            <w:tcW w:w="1420" w:type="dxa"/>
            <w:tcBorders>
              <w:top w:val="nil"/>
              <w:left w:val="nil"/>
              <w:bottom w:val="single" w:sz="4" w:space="0" w:color="auto"/>
              <w:right w:val="single" w:sz="4" w:space="0" w:color="auto"/>
            </w:tcBorders>
            <w:shd w:val="clear" w:color="auto" w:fill="auto"/>
            <w:vAlign w:val="center"/>
            <w:hideMark/>
          </w:tcPr>
          <w:p w14:paraId="10DB077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21</w:t>
            </w:r>
          </w:p>
        </w:tc>
        <w:tc>
          <w:tcPr>
            <w:tcW w:w="1340" w:type="dxa"/>
            <w:tcBorders>
              <w:top w:val="nil"/>
              <w:left w:val="nil"/>
              <w:bottom w:val="single" w:sz="4" w:space="0" w:color="auto"/>
              <w:right w:val="single" w:sz="4" w:space="0" w:color="auto"/>
            </w:tcBorders>
            <w:shd w:val="clear" w:color="auto" w:fill="auto"/>
            <w:vAlign w:val="center"/>
            <w:hideMark/>
          </w:tcPr>
          <w:p w14:paraId="3DBAF51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16</w:t>
            </w:r>
          </w:p>
        </w:tc>
        <w:tc>
          <w:tcPr>
            <w:tcW w:w="1180" w:type="dxa"/>
            <w:tcBorders>
              <w:top w:val="nil"/>
              <w:left w:val="nil"/>
              <w:bottom w:val="single" w:sz="4" w:space="0" w:color="auto"/>
              <w:right w:val="single" w:sz="4" w:space="0" w:color="auto"/>
            </w:tcBorders>
            <w:shd w:val="clear" w:color="auto" w:fill="auto"/>
            <w:vAlign w:val="center"/>
            <w:hideMark/>
          </w:tcPr>
          <w:p w14:paraId="4859536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81</w:t>
            </w:r>
          </w:p>
        </w:tc>
      </w:tr>
      <w:tr w:rsidR="00E31239" w:rsidRPr="00E31239" w14:paraId="11D70218"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6512680E"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0E2ECE6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BELSG</w:t>
            </w:r>
          </w:p>
        </w:tc>
        <w:tc>
          <w:tcPr>
            <w:tcW w:w="1660" w:type="dxa"/>
            <w:tcBorders>
              <w:top w:val="nil"/>
              <w:left w:val="nil"/>
              <w:bottom w:val="single" w:sz="4" w:space="0" w:color="auto"/>
              <w:right w:val="single" w:sz="4" w:space="0" w:color="auto"/>
            </w:tcBorders>
            <w:shd w:val="clear" w:color="auto" w:fill="auto"/>
            <w:vAlign w:val="center"/>
            <w:hideMark/>
          </w:tcPr>
          <w:p w14:paraId="34B1462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101</w:t>
            </w:r>
          </w:p>
        </w:tc>
        <w:tc>
          <w:tcPr>
            <w:tcW w:w="1420" w:type="dxa"/>
            <w:tcBorders>
              <w:top w:val="nil"/>
              <w:left w:val="nil"/>
              <w:bottom w:val="single" w:sz="4" w:space="0" w:color="auto"/>
              <w:right w:val="single" w:sz="4" w:space="0" w:color="auto"/>
            </w:tcBorders>
            <w:shd w:val="clear" w:color="auto" w:fill="auto"/>
            <w:vAlign w:val="center"/>
            <w:hideMark/>
          </w:tcPr>
          <w:p w14:paraId="0FDCD58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21</w:t>
            </w:r>
          </w:p>
        </w:tc>
        <w:tc>
          <w:tcPr>
            <w:tcW w:w="1340" w:type="dxa"/>
            <w:tcBorders>
              <w:top w:val="nil"/>
              <w:left w:val="nil"/>
              <w:bottom w:val="single" w:sz="4" w:space="0" w:color="auto"/>
              <w:right w:val="single" w:sz="4" w:space="0" w:color="auto"/>
            </w:tcBorders>
            <w:shd w:val="clear" w:color="auto" w:fill="auto"/>
            <w:vAlign w:val="center"/>
            <w:hideMark/>
          </w:tcPr>
          <w:p w14:paraId="25F87EF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19</w:t>
            </w:r>
          </w:p>
        </w:tc>
        <w:tc>
          <w:tcPr>
            <w:tcW w:w="1180" w:type="dxa"/>
            <w:tcBorders>
              <w:top w:val="nil"/>
              <w:left w:val="nil"/>
              <w:bottom w:val="single" w:sz="4" w:space="0" w:color="auto"/>
              <w:right w:val="single" w:sz="4" w:space="0" w:color="auto"/>
            </w:tcBorders>
            <w:shd w:val="clear" w:color="auto" w:fill="auto"/>
            <w:vAlign w:val="center"/>
            <w:hideMark/>
          </w:tcPr>
          <w:p w14:paraId="492B012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99</w:t>
            </w:r>
          </w:p>
        </w:tc>
      </w:tr>
      <w:tr w:rsidR="00E31239" w:rsidRPr="00E31239" w14:paraId="37CB409D" w14:textId="77777777" w:rsidTr="00E31239">
        <w:trPr>
          <w:trHeight w:val="300"/>
        </w:trPr>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0078018E" w14:textId="77777777" w:rsidR="00E31239" w:rsidRPr="00E31239" w:rsidRDefault="00E31239" w:rsidP="00E31239">
            <w:pPr>
              <w:spacing w:after="0" w:line="240" w:lineRule="auto"/>
              <w:rPr>
                <w:rFonts w:ascii="Calibri" w:eastAsia="Times New Roman" w:hAnsi="Calibri" w:cs="Times New Roman"/>
                <w:color w:val="000000"/>
              </w:rPr>
            </w:pPr>
            <w:proofErr w:type="spellStart"/>
            <w:r w:rsidRPr="00E31239">
              <w:rPr>
                <w:rFonts w:ascii="Calibri" w:eastAsia="Times New Roman" w:hAnsi="Calibri" w:cs="Times New Roman"/>
                <w:color w:val="000000"/>
              </w:rPr>
              <w:t>Hainich</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6E045D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HEG02</w:t>
            </w:r>
          </w:p>
        </w:tc>
        <w:tc>
          <w:tcPr>
            <w:tcW w:w="1660" w:type="dxa"/>
            <w:tcBorders>
              <w:top w:val="nil"/>
              <w:left w:val="nil"/>
              <w:bottom w:val="single" w:sz="4" w:space="0" w:color="auto"/>
              <w:right w:val="single" w:sz="4" w:space="0" w:color="auto"/>
            </w:tcBorders>
            <w:shd w:val="clear" w:color="auto" w:fill="auto"/>
            <w:vAlign w:val="center"/>
            <w:hideMark/>
          </w:tcPr>
          <w:p w14:paraId="34E4AEE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29</w:t>
            </w:r>
          </w:p>
        </w:tc>
        <w:tc>
          <w:tcPr>
            <w:tcW w:w="1420" w:type="dxa"/>
            <w:tcBorders>
              <w:top w:val="nil"/>
              <w:left w:val="nil"/>
              <w:bottom w:val="single" w:sz="4" w:space="0" w:color="auto"/>
              <w:right w:val="single" w:sz="4" w:space="0" w:color="auto"/>
            </w:tcBorders>
            <w:shd w:val="clear" w:color="auto" w:fill="auto"/>
            <w:vAlign w:val="center"/>
            <w:hideMark/>
          </w:tcPr>
          <w:p w14:paraId="4417098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42D48EC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180" w:type="dxa"/>
            <w:tcBorders>
              <w:top w:val="nil"/>
              <w:left w:val="nil"/>
              <w:bottom w:val="single" w:sz="4" w:space="0" w:color="auto"/>
              <w:right w:val="single" w:sz="4" w:space="0" w:color="auto"/>
            </w:tcBorders>
            <w:shd w:val="clear" w:color="auto" w:fill="auto"/>
            <w:vAlign w:val="center"/>
            <w:hideMark/>
          </w:tcPr>
          <w:p w14:paraId="6F76B35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22</w:t>
            </w:r>
          </w:p>
        </w:tc>
      </w:tr>
      <w:tr w:rsidR="00E31239" w:rsidRPr="00E31239" w14:paraId="35BA74AF"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0B7A9471"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789D588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HEG03</w:t>
            </w:r>
          </w:p>
        </w:tc>
        <w:tc>
          <w:tcPr>
            <w:tcW w:w="1660" w:type="dxa"/>
            <w:tcBorders>
              <w:top w:val="nil"/>
              <w:left w:val="nil"/>
              <w:bottom w:val="single" w:sz="4" w:space="0" w:color="auto"/>
              <w:right w:val="single" w:sz="4" w:space="0" w:color="auto"/>
            </w:tcBorders>
            <w:shd w:val="clear" w:color="auto" w:fill="auto"/>
            <w:vAlign w:val="center"/>
            <w:hideMark/>
          </w:tcPr>
          <w:p w14:paraId="475992E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c>
          <w:tcPr>
            <w:tcW w:w="1420" w:type="dxa"/>
            <w:tcBorders>
              <w:top w:val="nil"/>
              <w:left w:val="nil"/>
              <w:bottom w:val="single" w:sz="4" w:space="0" w:color="auto"/>
              <w:right w:val="single" w:sz="4" w:space="0" w:color="auto"/>
            </w:tcBorders>
            <w:shd w:val="clear" w:color="auto" w:fill="auto"/>
            <w:vAlign w:val="center"/>
            <w:hideMark/>
          </w:tcPr>
          <w:p w14:paraId="52655E6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14:paraId="15E2FE3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180" w:type="dxa"/>
            <w:tcBorders>
              <w:top w:val="nil"/>
              <w:left w:val="nil"/>
              <w:bottom w:val="single" w:sz="4" w:space="0" w:color="auto"/>
              <w:right w:val="single" w:sz="4" w:space="0" w:color="auto"/>
            </w:tcBorders>
            <w:shd w:val="clear" w:color="auto" w:fill="auto"/>
            <w:vAlign w:val="center"/>
            <w:hideMark/>
          </w:tcPr>
          <w:p w14:paraId="403E6BC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r>
      <w:tr w:rsidR="00E31239" w:rsidRPr="00E31239" w14:paraId="74F76E60"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D1B35EA"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27F031C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HEG07</w:t>
            </w:r>
          </w:p>
        </w:tc>
        <w:tc>
          <w:tcPr>
            <w:tcW w:w="1660" w:type="dxa"/>
            <w:tcBorders>
              <w:top w:val="nil"/>
              <w:left w:val="nil"/>
              <w:bottom w:val="single" w:sz="4" w:space="0" w:color="auto"/>
              <w:right w:val="single" w:sz="4" w:space="0" w:color="auto"/>
            </w:tcBorders>
            <w:shd w:val="clear" w:color="auto" w:fill="auto"/>
            <w:vAlign w:val="center"/>
            <w:hideMark/>
          </w:tcPr>
          <w:p w14:paraId="44B20B4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44</w:t>
            </w:r>
          </w:p>
        </w:tc>
        <w:tc>
          <w:tcPr>
            <w:tcW w:w="1420" w:type="dxa"/>
            <w:tcBorders>
              <w:top w:val="nil"/>
              <w:left w:val="nil"/>
              <w:bottom w:val="single" w:sz="4" w:space="0" w:color="auto"/>
              <w:right w:val="single" w:sz="4" w:space="0" w:color="auto"/>
            </w:tcBorders>
            <w:shd w:val="clear" w:color="auto" w:fill="auto"/>
            <w:vAlign w:val="center"/>
            <w:hideMark/>
          </w:tcPr>
          <w:p w14:paraId="7D67DC9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14875ED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13</w:t>
            </w:r>
          </w:p>
        </w:tc>
        <w:tc>
          <w:tcPr>
            <w:tcW w:w="1180" w:type="dxa"/>
            <w:tcBorders>
              <w:top w:val="nil"/>
              <w:left w:val="nil"/>
              <w:bottom w:val="single" w:sz="4" w:space="0" w:color="auto"/>
              <w:right w:val="single" w:sz="4" w:space="0" w:color="auto"/>
            </w:tcBorders>
            <w:shd w:val="clear" w:color="auto" w:fill="auto"/>
            <w:vAlign w:val="center"/>
            <w:hideMark/>
          </w:tcPr>
          <w:p w14:paraId="284EE01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43</w:t>
            </w:r>
          </w:p>
        </w:tc>
      </w:tr>
      <w:tr w:rsidR="00E31239" w:rsidRPr="00E31239" w14:paraId="5E46B8ED"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3525687"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18CE6A6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HEG08</w:t>
            </w:r>
          </w:p>
        </w:tc>
        <w:tc>
          <w:tcPr>
            <w:tcW w:w="1660" w:type="dxa"/>
            <w:tcBorders>
              <w:top w:val="nil"/>
              <w:left w:val="nil"/>
              <w:bottom w:val="single" w:sz="4" w:space="0" w:color="auto"/>
              <w:right w:val="single" w:sz="4" w:space="0" w:color="auto"/>
            </w:tcBorders>
            <w:shd w:val="clear" w:color="auto" w:fill="auto"/>
            <w:vAlign w:val="center"/>
            <w:hideMark/>
          </w:tcPr>
          <w:p w14:paraId="41D5112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420" w:type="dxa"/>
            <w:tcBorders>
              <w:top w:val="nil"/>
              <w:left w:val="nil"/>
              <w:bottom w:val="single" w:sz="4" w:space="0" w:color="auto"/>
              <w:right w:val="single" w:sz="4" w:space="0" w:color="auto"/>
            </w:tcBorders>
            <w:shd w:val="clear" w:color="auto" w:fill="auto"/>
            <w:vAlign w:val="center"/>
            <w:hideMark/>
          </w:tcPr>
          <w:p w14:paraId="26005BF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c>
          <w:tcPr>
            <w:tcW w:w="1340" w:type="dxa"/>
            <w:tcBorders>
              <w:top w:val="nil"/>
              <w:left w:val="nil"/>
              <w:bottom w:val="single" w:sz="4" w:space="0" w:color="auto"/>
              <w:right w:val="single" w:sz="4" w:space="0" w:color="auto"/>
            </w:tcBorders>
            <w:shd w:val="clear" w:color="auto" w:fill="auto"/>
            <w:vAlign w:val="center"/>
            <w:hideMark/>
          </w:tcPr>
          <w:p w14:paraId="76D5C9A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c>
          <w:tcPr>
            <w:tcW w:w="1180" w:type="dxa"/>
            <w:tcBorders>
              <w:top w:val="nil"/>
              <w:left w:val="nil"/>
              <w:bottom w:val="single" w:sz="4" w:space="0" w:color="auto"/>
              <w:right w:val="single" w:sz="4" w:space="0" w:color="auto"/>
            </w:tcBorders>
            <w:shd w:val="clear" w:color="auto" w:fill="auto"/>
            <w:vAlign w:val="center"/>
            <w:hideMark/>
          </w:tcPr>
          <w:p w14:paraId="02A7111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r>
      <w:tr w:rsidR="00E31239" w:rsidRPr="00E31239" w14:paraId="32B68041"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A3150B0"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30F152B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HEG09</w:t>
            </w:r>
          </w:p>
        </w:tc>
        <w:tc>
          <w:tcPr>
            <w:tcW w:w="1660" w:type="dxa"/>
            <w:tcBorders>
              <w:top w:val="nil"/>
              <w:left w:val="nil"/>
              <w:bottom w:val="single" w:sz="4" w:space="0" w:color="auto"/>
              <w:right w:val="single" w:sz="4" w:space="0" w:color="auto"/>
            </w:tcBorders>
            <w:shd w:val="clear" w:color="auto" w:fill="auto"/>
            <w:vAlign w:val="center"/>
            <w:hideMark/>
          </w:tcPr>
          <w:p w14:paraId="34FE399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21</w:t>
            </w:r>
          </w:p>
        </w:tc>
        <w:tc>
          <w:tcPr>
            <w:tcW w:w="1420" w:type="dxa"/>
            <w:tcBorders>
              <w:top w:val="nil"/>
              <w:left w:val="nil"/>
              <w:bottom w:val="single" w:sz="4" w:space="0" w:color="auto"/>
              <w:right w:val="single" w:sz="4" w:space="0" w:color="auto"/>
            </w:tcBorders>
            <w:shd w:val="clear" w:color="auto" w:fill="auto"/>
            <w:vAlign w:val="center"/>
            <w:hideMark/>
          </w:tcPr>
          <w:p w14:paraId="17F39E1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c>
          <w:tcPr>
            <w:tcW w:w="1340" w:type="dxa"/>
            <w:tcBorders>
              <w:top w:val="nil"/>
              <w:left w:val="nil"/>
              <w:bottom w:val="single" w:sz="4" w:space="0" w:color="auto"/>
              <w:right w:val="single" w:sz="4" w:space="0" w:color="auto"/>
            </w:tcBorders>
            <w:shd w:val="clear" w:color="auto" w:fill="auto"/>
            <w:vAlign w:val="center"/>
            <w:hideMark/>
          </w:tcPr>
          <w:p w14:paraId="78056C9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c>
          <w:tcPr>
            <w:tcW w:w="1180" w:type="dxa"/>
            <w:tcBorders>
              <w:top w:val="nil"/>
              <w:left w:val="nil"/>
              <w:bottom w:val="single" w:sz="4" w:space="0" w:color="auto"/>
              <w:right w:val="single" w:sz="4" w:space="0" w:color="auto"/>
            </w:tcBorders>
            <w:shd w:val="clear" w:color="auto" w:fill="auto"/>
            <w:vAlign w:val="center"/>
            <w:hideMark/>
          </w:tcPr>
          <w:p w14:paraId="0324B81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20</w:t>
            </w:r>
          </w:p>
        </w:tc>
      </w:tr>
      <w:tr w:rsidR="00E31239" w:rsidRPr="00E31239" w14:paraId="6AC9DC08"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1E62FECE"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56D5F05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HEG17</w:t>
            </w:r>
          </w:p>
        </w:tc>
        <w:tc>
          <w:tcPr>
            <w:tcW w:w="1660" w:type="dxa"/>
            <w:tcBorders>
              <w:top w:val="nil"/>
              <w:left w:val="nil"/>
              <w:bottom w:val="single" w:sz="4" w:space="0" w:color="auto"/>
              <w:right w:val="single" w:sz="4" w:space="0" w:color="auto"/>
            </w:tcBorders>
            <w:shd w:val="clear" w:color="auto" w:fill="auto"/>
            <w:vAlign w:val="center"/>
            <w:hideMark/>
          </w:tcPr>
          <w:p w14:paraId="6872FD3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51</w:t>
            </w:r>
          </w:p>
        </w:tc>
        <w:tc>
          <w:tcPr>
            <w:tcW w:w="1420" w:type="dxa"/>
            <w:tcBorders>
              <w:top w:val="nil"/>
              <w:left w:val="nil"/>
              <w:bottom w:val="single" w:sz="4" w:space="0" w:color="auto"/>
              <w:right w:val="single" w:sz="4" w:space="0" w:color="auto"/>
            </w:tcBorders>
            <w:shd w:val="clear" w:color="auto" w:fill="auto"/>
            <w:vAlign w:val="center"/>
            <w:hideMark/>
          </w:tcPr>
          <w:p w14:paraId="1E693A9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340" w:type="dxa"/>
            <w:tcBorders>
              <w:top w:val="nil"/>
              <w:left w:val="nil"/>
              <w:bottom w:val="single" w:sz="4" w:space="0" w:color="auto"/>
              <w:right w:val="single" w:sz="4" w:space="0" w:color="auto"/>
            </w:tcBorders>
            <w:shd w:val="clear" w:color="auto" w:fill="auto"/>
            <w:vAlign w:val="center"/>
            <w:hideMark/>
          </w:tcPr>
          <w:p w14:paraId="45F9864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14:paraId="10A0257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49</w:t>
            </w:r>
          </w:p>
        </w:tc>
      </w:tr>
      <w:tr w:rsidR="00E31239" w:rsidRPr="00E31239" w14:paraId="3C9D8C85"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D0B19A3"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0DE3707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HEG42</w:t>
            </w:r>
          </w:p>
        </w:tc>
        <w:tc>
          <w:tcPr>
            <w:tcW w:w="1660" w:type="dxa"/>
            <w:tcBorders>
              <w:top w:val="nil"/>
              <w:left w:val="nil"/>
              <w:bottom w:val="single" w:sz="4" w:space="0" w:color="auto"/>
              <w:right w:val="single" w:sz="4" w:space="0" w:color="auto"/>
            </w:tcBorders>
            <w:shd w:val="clear" w:color="auto" w:fill="auto"/>
            <w:vAlign w:val="center"/>
            <w:hideMark/>
          </w:tcPr>
          <w:p w14:paraId="695D339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17</w:t>
            </w:r>
          </w:p>
        </w:tc>
        <w:tc>
          <w:tcPr>
            <w:tcW w:w="1420" w:type="dxa"/>
            <w:tcBorders>
              <w:top w:val="nil"/>
              <w:left w:val="nil"/>
              <w:bottom w:val="single" w:sz="4" w:space="0" w:color="auto"/>
              <w:right w:val="single" w:sz="4" w:space="0" w:color="auto"/>
            </w:tcBorders>
            <w:shd w:val="clear" w:color="auto" w:fill="auto"/>
            <w:vAlign w:val="center"/>
            <w:hideMark/>
          </w:tcPr>
          <w:p w14:paraId="3790AC2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c>
          <w:tcPr>
            <w:tcW w:w="1340" w:type="dxa"/>
            <w:tcBorders>
              <w:top w:val="nil"/>
              <w:left w:val="nil"/>
              <w:bottom w:val="single" w:sz="4" w:space="0" w:color="auto"/>
              <w:right w:val="single" w:sz="4" w:space="0" w:color="auto"/>
            </w:tcBorders>
            <w:shd w:val="clear" w:color="auto" w:fill="auto"/>
            <w:vAlign w:val="center"/>
            <w:hideMark/>
          </w:tcPr>
          <w:p w14:paraId="44282F0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c>
          <w:tcPr>
            <w:tcW w:w="1180" w:type="dxa"/>
            <w:tcBorders>
              <w:top w:val="nil"/>
              <w:left w:val="nil"/>
              <w:bottom w:val="single" w:sz="4" w:space="0" w:color="auto"/>
              <w:right w:val="single" w:sz="4" w:space="0" w:color="auto"/>
            </w:tcBorders>
            <w:shd w:val="clear" w:color="auto" w:fill="auto"/>
            <w:vAlign w:val="center"/>
            <w:hideMark/>
          </w:tcPr>
          <w:p w14:paraId="54A0EC7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16</w:t>
            </w:r>
          </w:p>
        </w:tc>
      </w:tr>
      <w:tr w:rsidR="00E31239" w:rsidRPr="00E31239" w14:paraId="20DE1415" w14:textId="77777777" w:rsidTr="00E31239">
        <w:trPr>
          <w:trHeight w:val="300"/>
        </w:trPr>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03248FA1" w14:textId="77777777" w:rsidR="00E31239" w:rsidRPr="00E31239" w:rsidRDefault="00E31239" w:rsidP="00E31239">
            <w:pPr>
              <w:spacing w:after="0" w:line="240" w:lineRule="auto"/>
              <w:rPr>
                <w:rFonts w:ascii="Calibri" w:eastAsia="Times New Roman" w:hAnsi="Calibri" w:cs="Times New Roman"/>
                <w:color w:val="000000"/>
              </w:rPr>
            </w:pPr>
            <w:proofErr w:type="spellStart"/>
            <w:r w:rsidRPr="00E31239">
              <w:rPr>
                <w:rFonts w:ascii="Calibri" w:eastAsia="Times New Roman" w:hAnsi="Calibri" w:cs="Times New Roman"/>
                <w:color w:val="000000"/>
              </w:rPr>
              <w:t>Schorfheide</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CA6C7A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SEG01</w:t>
            </w:r>
          </w:p>
        </w:tc>
        <w:tc>
          <w:tcPr>
            <w:tcW w:w="1660" w:type="dxa"/>
            <w:tcBorders>
              <w:top w:val="nil"/>
              <w:left w:val="nil"/>
              <w:bottom w:val="single" w:sz="4" w:space="0" w:color="auto"/>
              <w:right w:val="single" w:sz="4" w:space="0" w:color="auto"/>
            </w:tcBorders>
            <w:shd w:val="clear" w:color="auto" w:fill="auto"/>
            <w:vAlign w:val="center"/>
            <w:hideMark/>
          </w:tcPr>
          <w:p w14:paraId="1545A23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c>
          <w:tcPr>
            <w:tcW w:w="1420" w:type="dxa"/>
            <w:tcBorders>
              <w:top w:val="nil"/>
              <w:left w:val="nil"/>
              <w:bottom w:val="single" w:sz="4" w:space="0" w:color="auto"/>
              <w:right w:val="single" w:sz="4" w:space="0" w:color="auto"/>
            </w:tcBorders>
            <w:shd w:val="clear" w:color="auto" w:fill="auto"/>
            <w:vAlign w:val="center"/>
            <w:hideMark/>
          </w:tcPr>
          <w:p w14:paraId="2B6DEFD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14:paraId="3396608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6</w:t>
            </w:r>
          </w:p>
        </w:tc>
        <w:tc>
          <w:tcPr>
            <w:tcW w:w="1180" w:type="dxa"/>
            <w:tcBorders>
              <w:top w:val="nil"/>
              <w:left w:val="nil"/>
              <w:bottom w:val="single" w:sz="4" w:space="0" w:color="auto"/>
              <w:right w:val="single" w:sz="4" w:space="0" w:color="auto"/>
            </w:tcBorders>
            <w:shd w:val="clear" w:color="auto" w:fill="auto"/>
            <w:vAlign w:val="center"/>
            <w:hideMark/>
          </w:tcPr>
          <w:p w14:paraId="2B02AE1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r>
      <w:tr w:rsidR="00E31239" w:rsidRPr="00E31239" w14:paraId="5705A10A"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02B52E0B"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7BB40940"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SEG02</w:t>
            </w:r>
          </w:p>
        </w:tc>
        <w:tc>
          <w:tcPr>
            <w:tcW w:w="1660" w:type="dxa"/>
            <w:tcBorders>
              <w:top w:val="nil"/>
              <w:left w:val="nil"/>
              <w:bottom w:val="single" w:sz="4" w:space="0" w:color="auto"/>
              <w:right w:val="single" w:sz="4" w:space="0" w:color="auto"/>
            </w:tcBorders>
            <w:shd w:val="clear" w:color="auto" w:fill="auto"/>
            <w:vAlign w:val="center"/>
            <w:hideMark/>
          </w:tcPr>
          <w:p w14:paraId="44D3D15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c>
          <w:tcPr>
            <w:tcW w:w="1420" w:type="dxa"/>
            <w:tcBorders>
              <w:top w:val="nil"/>
              <w:left w:val="nil"/>
              <w:bottom w:val="single" w:sz="4" w:space="0" w:color="auto"/>
              <w:right w:val="single" w:sz="4" w:space="0" w:color="auto"/>
            </w:tcBorders>
            <w:shd w:val="clear" w:color="auto" w:fill="auto"/>
            <w:vAlign w:val="center"/>
            <w:hideMark/>
          </w:tcPr>
          <w:p w14:paraId="0D13C9F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14:paraId="4B37886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180" w:type="dxa"/>
            <w:tcBorders>
              <w:top w:val="nil"/>
              <w:left w:val="nil"/>
              <w:bottom w:val="single" w:sz="4" w:space="0" w:color="auto"/>
              <w:right w:val="single" w:sz="4" w:space="0" w:color="auto"/>
            </w:tcBorders>
            <w:shd w:val="clear" w:color="auto" w:fill="auto"/>
            <w:vAlign w:val="center"/>
            <w:hideMark/>
          </w:tcPr>
          <w:p w14:paraId="2C79C84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11</w:t>
            </w:r>
          </w:p>
        </w:tc>
      </w:tr>
      <w:tr w:rsidR="00E31239" w:rsidRPr="00E31239" w14:paraId="40D2C60C"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0DFFD487"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2A88F4F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SEG03</w:t>
            </w:r>
          </w:p>
        </w:tc>
        <w:tc>
          <w:tcPr>
            <w:tcW w:w="1660" w:type="dxa"/>
            <w:tcBorders>
              <w:top w:val="nil"/>
              <w:left w:val="nil"/>
              <w:bottom w:val="single" w:sz="4" w:space="0" w:color="auto"/>
              <w:right w:val="single" w:sz="4" w:space="0" w:color="auto"/>
            </w:tcBorders>
            <w:shd w:val="clear" w:color="auto" w:fill="auto"/>
            <w:vAlign w:val="center"/>
            <w:hideMark/>
          </w:tcPr>
          <w:p w14:paraId="632B85B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17</w:t>
            </w:r>
          </w:p>
        </w:tc>
        <w:tc>
          <w:tcPr>
            <w:tcW w:w="1420" w:type="dxa"/>
            <w:tcBorders>
              <w:top w:val="nil"/>
              <w:left w:val="nil"/>
              <w:bottom w:val="single" w:sz="4" w:space="0" w:color="auto"/>
              <w:right w:val="single" w:sz="4" w:space="0" w:color="auto"/>
            </w:tcBorders>
            <w:shd w:val="clear" w:color="auto" w:fill="auto"/>
            <w:vAlign w:val="center"/>
            <w:hideMark/>
          </w:tcPr>
          <w:p w14:paraId="17B5CEB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w:t>
            </w:r>
          </w:p>
        </w:tc>
        <w:tc>
          <w:tcPr>
            <w:tcW w:w="1340" w:type="dxa"/>
            <w:tcBorders>
              <w:top w:val="nil"/>
              <w:left w:val="nil"/>
              <w:bottom w:val="single" w:sz="4" w:space="0" w:color="auto"/>
              <w:right w:val="single" w:sz="4" w:space="0" w:color="auto"/>
            </w:tcBorders>
            <w:shd w:val="clear" w:color="auto" w:fill="auto"/>
            <w:vAlign w:val="center"/>
            <w:hideMark/>
          </w:tcPr>
          <w:p w14:paraId="34C736E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w:t>
            </w:r>
          </w:p>
        </w:tc>
        <w:tc>
          <w:tcPr>
            <w:tcW w:w="1180" w:type="dxa"/>
            <w:tcBorders>
              <w:top w:val="nil"/>
              <w:left w:val="nil"/>
              <w:bottom w:val="single" w:sz="4" w:space="0" w:color="auto"/>
              <w:right w:val="single" w:sz="4" w:space="0" w:color="auto"/>
            </w:tcBorders>
            <w:shd w:val="clear" w:color="auto" w:fill="auto"/>
            <w:vAlign w:val="center"/>
            <w:hideMark/>
          </w:tcPr>
          <w:p w14:paraId="5991937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17</w:t>
            </w:r>
          </w:p>
        </w:tc>
      </w:tr>
      <w:tr w:rsidR="00E31239" w:rsidRPr="00E31239" w14:paraId="1B4BF861"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71048C54"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568867C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SEG04</w:t>
            </w:r>
          </w:p>
        </w:tc>
        <w:tc>
          <w:tcPr>
            <w:tcW w:w="1660" w:type="dxa"/>
            <w:tcBorders>
              <w:top w:val="nil"/>
              <w:left w:val="nil"/>
              <w:bottom w:val="single" w:sz="4" w:space="0" w:color="auto"/>
              <w:right w:val="single" w:sz="4" w:space="0" w:color="auto"/>
            </w:tcBorders>
            <w:shd w:val="clear" w:color="auto" w:fill="auto"/>
            <w:vAlign w:val="center"/>
            <w:hideMark/>
          </w:tcPr>
          <w:p w14:paraId="4A02217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54</w:t>
            </w:r>
          </w:p>
        </w:tc>
        <w:tc>
          <w:tcPr>
            <w:tcW w:w="1420" w:type="dxa"/>
            <w:tcBorders>
              <w:top w:val="nil"/>
              <w:left w:val="nil"/>
              <w:bottom w:val="single" w:sz="4" w:space="0" w:color="auto"/>
              <w:right w:val="single" w:sz="4" w:space="0" w:color="auto"/>
            </w:tcBorders>
            <w:shd w:val="clear" w:color="auto" w:fill="auto"/>
            <w:vAlign w:val="center"/>
            <w:hideMark/>
          </w:tcPr>
          <w:p w14:paraId="4ECAF32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340" w:type="dxa"/>
            <w:tcBorders>
              <w:top w:val="nil"/>
              <w:left w:val="nil"/>
              <w:bottom w:val="single" w:sz="4" w:space="0" w:color="auto"/>
              <w:right w:val="single" w:sz="4" w:space="0" w:color="auto"/>
            </w:tcBorders>
            <w:shd w:val="clear" w:color="auto" w:fill="auto"/>
            <w:vAlign w:val="center"/>
            <w:hideMark/>
          </w:tcPr>
          <w:p w14:paraId="5ADFE57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8</w:t>
            </w:r>
          </w:p>
        </w:tc>
        <w:tc>
          <w:tcPr>
            <w:tcW w:w="1180" w:type="dxa"/>
            <w:tcBorders>
              <w:top w:val="nil"/>
              <w:left w:val="nil"/>
              <w:bottom w:val="single" w:sz="4" w:space="0" w:color="auto"/>
              <w:right w:val="single" w:sz="4" w:space="0" w:color="auto"/>
            </w:tcBorders>
            <w:shd w:val="clear" w:color="auto" w:fill="auto"/>
            <w:vAlign w:val="center"/>
            <w:hideMark/>
          </w:tcPr>
          <w:p w14:paraId="5A737B3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52</w:t>
            </w:r>
          </w:p>
        </w:tc>
      </w:tr>
      <w:tr w:rsidR="00E31239" w:rsidRPr="00E31239" w14:paraId="6921E70C"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C846892"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0EAC7FE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SEG16</w:t>
            </w:r>
          </w:p>
        </w:tc>
        <w:tc>
          <w:tcPr>
            <w:tcW w:w="1660" w:type="dxa"/>
            <w:tcBorders>
              <w:top w:val="nil"/>
              <w:left w:val="nil"/>
              <w:bottom w:val="single" w:sz="4" w:space="0" w:color="auto"/>
              <w:right w:val="single" w:sz="4" w:space="0" w:color="auto"/>
            </w:tcBorders>
            <w:shd w:val="clear" w:color="auto" w:fill="auto"/>
            <w:vAlign w:val="center"/>
            <w:hideMark/>
          </w:tcPr>
          <w:p w14:paraId="0AB2C89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56</w:t>
            </w:r>
          </w:p>
        </w:tc>
        <w:tc>
          <w:tcPr>
            <w:tcW w:w="1420" w:type="dxa"/>
            <w:tcBorders>
              <w:top w:val="nil"/>
              <w:left w:val="nil"/>
              <w:bottom w:val="single" w:sz="4" w:space="0" w:color="auto"/>
              <w:right w:val="single" w:sz="4" w:space="0" w:color="auto"/>
            </w:tcBorders>
            <w:shd w:val="clear" w:color="auto" w:fill="auto"/>
            <w:vAlign w:val="center"/>
            <w:hideMark/>
          </w:tcPr>
          <w:p w14:paraId="07C5E0E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15</w:t>
            </w:r>
          </w:p>
        </w:tc>
        <w:tc>
          <w:tcPr>
            <w:tcW w:w="1340" w:type="dxa"/>
            <w:tcBorders>
              <w:top w:val="nil"/>
              <w:left w:val="nil"/>
              <w:bottom w:val="single" w:sz="4" w:space="0" w:color="auto"/>
              <w:right w:val="single" w:sz="4" w:space="0" w:color="auto"/>
            </w:tcBorders>
            <w:shd w:val="clear" w:color="auto" w:fill="auto"/>
            <w:vAlign w:val="center"/>
            <w:hideMark/>
          </w:tcPr>
          <w:p w14:paraId="4D5209E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12</w:t>
            </w:r>
          </w:p>
        </w:tc>
        <w:tc>
          <w:tcPr>
            <w:tcW w:w="1180" w:type="dxa"/>
            <w:tcBorders>
              <w:top w:val="nil"/>
              <w:left w:val="nil"/>
              <w:bottom w:val="single" w:sz="4" w:space="0" w:color="auto"/>
              <w:right w:val="single" w:sz="4" w:space="0" w:color="auto"/>
            </w:tcBorders>
            <w:shd w:val="clear" w:color="auto" w:fill="auto"/>
            <w:vAlign w:val="center"/>
            <w:hideMark/>
          </w:tcPr>
          <w:p w14:paraId="5F5208A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47</w:t>
            </w:r>
          </w:p>
        </w:tc>
      </w:tr>
      <w:tr w:rsidR="00E31239" w:rsidRPr="00E31239" w14:paraId="056B3875"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4A99A0A"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098753F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SEG35</w:t>
            </w:r>
          </w:p>
        </w:tc>
        <w:tc>
          <w:tcPr>
            <w:tcW w:w="1660" w:type="dxa"/>
            <w:tcBorders>
              <w:top w:val="nil"/>
              <w:left w:val="nil"/>
              <w:bottom w:val="single" w:sz="4" w:space="0" w:color="auto"/>
              <w:right w:val="single" w:sz="4" w:space="0" w:color="auto"/>
            </w:tcBorders>
            <w:shd w:val="clear" w:color="auto" w:fill="auto"/>
            <w:vAlign w:val="center"/>
            <w:hideMark/>
          </w:tcPr>
          <w:p w14:paraId="27AC040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26</w:t>
            </w:r>
          </w:p>
        </w:tc>
        <w:tc>
          <w:tcPr>
            <w:tcW w:w="1420" w:type="dxa"/>
            <w:tcBorders>
              <w:top w:val="nil"/>
              <w:left w:val="nil"/>
              <w:bottom w:val="single" w:sz="4" w:space="0" w:color="auto"/>
              <w:right w:val="single" w:sz="4" w:space="0" w:color="auto"/>
            </w:tcBorders>
            <w:shd w:val="clear" w:color="auto" w:fill="auto"/>
            <w:vAlign w:val="center"/>
            <w:hideMark/>
          </w:tcPr>
          <w:p w14:paraId="0D22E187"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14:paraId="0E32A3E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6</w:t>
            </w:r>
          </w:p>
        </w:tc>
        <w:tc>
          <w:tcPr>
            <w:tcW w:w="1180" w:type="dxa"/>
            <w:tcBorders>
              <w:top w:val="nil"/>
              <w:left w:val="nil"/>
              <w:bottom w:val="single" w:sz="4" w:space="0" w:color="auto"/>
              <w:right w:val="single" w:sz="4" w:space="0" w:color="auto"/>
            </w:tcBorders>
            <w:shd w:val="clear" w:color="auto" w:fill="auto"/>
            <w:vAlign w:val="center"/>
            <w:hideMark/>
          </w:tcPr>
          <w:p w14:paraId="47C5AC2E"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25</w:t>
            </w:r>
          </w:p>
        </w:tc>
      </w:tr>
      <w:tr w:rsidR="00E31239" w:rsidRPr="00E31239" w14:paraId="0F376B7F"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7D618883"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21BF09A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SEG42</w:t>
            </w:r>
          </w:p>
        </w:tc>
        <w:tc>
          <w:tcPr>
            <w:tcW w:w="1660" w:type="dxa"/>
            <w:tcBorders>
              <w:top w:val="nil"/>
              <w:left w:val="nil"/>
              <w:bottom w:val="single" w:sz="4" w:space="0" w:color="auto"/>
              <w:right w:val="single" w:sz="4" w:space="0" w:color="auto"/>
            </w:tcBorders>
            <w:shd w:val="clear" w:color="auto" w:fill="auto"/>
            <w:vAlign w:val="center"/>
            <w:hideMark/>
          </w:tcPr>
          <w:p w14:paraId="38E1C2C1"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38</w:t>
            </w:r>
          </w:p>
        </w:tc>
        <w:tc>
          <w:tcPr>
            <w:tcW w:w="1420" w:type="dxa"/>
            <w:tcBorders>
              <w:top w:val="nil"/>
              <w:left w:val="nil"/>
              <w:bottom w:val="single" w:sz="4" w:space="0" w:color="auto"/>
              <w:right w:val="single" w:sz="4" w:space="0" w:color="auto"/>
            </w:tcBorders>
            <w:shd w:val="clear" w:color="auto" w:fill="auto"/>
            <w:vAlign w:val="center"/>
            <w:hideMark/>
          </w:tcPr>
          <w:p w14:paraId="47F9285A"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3C8DCE0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14:paraId="27269BE5"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30</w:t>
            </w:r>
          </w:p>
        </w:tc>
      </w:tr>
      <w:tr w:rsidR="00E31239" w:rsidRPr="00E31239" w14:paraId="108B06E0"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5C23AFAA"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6017065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SEG43</w:t>
            </w:r>
          </w:p>
        </w:tc>
        <w:tc>
          <w:tcPr>
            <w:tcW w:w="1660" w:type="dxa"/>
            <w:tcBorders>
              <w:top w:val="nil"/>
              <w:left w:val="nil"/>
              <w:bottom w:val="single" w:sz="4" w:space="0" w:color="auto"/>
              <w:right w:val="single" w:sz="4" w:space="0" w:color="auto"/>
            </w:tcBorders>
            <w:shd w:val="clear" w:color="auto" w:fill="auto"/>
            <w:vAlign w:val="center"/>
            <w:hideMark/>
          </w:tcPr>
          <w:p w14:paraId="6E5C166B"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420" w:type="dxa"/>
            <w:tcBorders>
              <w:top w:val="nil"/>
              <w:left w:val="nil"/>
              <w:bottom w:val="single" w:sz="4" w:space="0" w:color="auto"/>
              <w:right w:val="single" w:sz="4" w:space="0" w:color="auto"/>
            </w:tcBorders>
            <w:shd w:val="clear" w:color="auto" w:fill="auto"/>
            <w:vAlign w:val="center"/>
            <w:hideMark/>
          </w:tcPr>
          <w:p w14:paraId="5DD4F1A4"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w:t>
            </w:r>
          </w:p>
        </w:tc>
        <w:tc>
          <w:tcPr>
            <w:tcW w:w="1340" w:type="dxa"/>
            <w:tcBorders>
              <w:top w:val="nil"/>
              <w:left w:val="nil"/>
              <w:bottom w:val="single" w:sz="4" w:space="0" w:color="auto"/>
              <w:right w:val="single" w:sz="4" w:space="0" w:color="auto"/>
            </w:tcBorders>
            <w:shd w:val="clear" w:color="auto" w:fill="auto"/>
            <w:vAlign w:val="center"/>
            <w:hideMark/>
          </w:tcPr>
          <w:p w14:paraId="4D471AA3"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4</w:t>
            </w:r>
          </w:p>
        </w:tc>
        <w:tc>
          <w:tcPr>
            <w:tcW w:w="1180" w:type="dxa"/>
            <w:tcBorders>
              <w:top w:val="nil"/>
              <w:left w:val="nil"/>
              <w:bottom w:val="single" w:sz="4" w:space="0" w:color="auto"/>
              <w:right w:val="single" w:sz="4" w:space="0" w:color="auto"/>
            </w:tcBorders>
            <w:shd w:val="clear" w:color="auto" w:fill="auto"/>
            <w:vAlign w:val="center"/>
            <w:hideMark/>
          </w:tcPr>
          <w:p w14:paraId="3BD5B4E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9</w:t>
            </w:r>
          </w:p>
        </w:tc>
      </w:tr>
      <w:tr w:rsidR="00E31239" w:rsidRPr="00E31239" w14:paraId="2F865717"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0936EE1"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73118DB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SEG44</w:t>
            </w:r>
          </w:p>
        </w:tc>
        <w:tc>
          <w:tcPr>
            <w:tcW w:w="1660" w:type="dxa"/>
            <w:tcBorders>
              <w:top w:val="nil"/>
              <w:left w:val="nil"/>
              <w:bottom w:val="single" w:sz="4" w:space="0" w:color="auto"/>
              <w:right w:val="single" w:sz="4" w:space="0" w:color="auto"/>
            </w:tcBorders>
            <w:shd w:val="clear" w:color="auto" w:fill="auto"/>
            <w:vAlign w:val="center"/>
            <w:hideMark/>
          </w:tcPr>
          <w:p w14:paraId="0376BFD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36</w:t>
            </w:r>
          </w:p>
        </w:tc>
        <w:tc>
          <w:tcPr>
            <w:tcW w:w="1420" w:type="dxa"/>
            <w:tcBorders>
              <w:top w:val="nil"/>
              <w:left w:val="nil"/>
              <w:bottom w:val="single" w:sz="4" w:space="0" w:color="auto"/>
              <w:right w:val="single" w:sz="4" w:space="0" w:color="auto"/>
            </w:tcBorders>
            <w:shd w:val="clear" w:color="auto" w:fill="auto"/>
            <w:vAlign w:val="center"/>
            <w:hideMark/>
          </w:tcPr>
          <w:p w14:paraId="7DAA2F1C"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14:paraId="04DE321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10</w:t>
            </w:r>
          </w:p>
        </w:tc>
        <w:tc>
          <w:tcPr>
            <w:tcW w:w="1180" w:type="dxa"/>
            <w:tcBorders>
              <w:top w:val="nil"/>
              <w:left w:val="nil"/>
              <w:bottom w:val="single" w:sz="4" w:space="0" w:color="auto"/>
              <w:right w:val="single" w:sz="4" w:space="0" w:color="auto"/>
            </w:tcBorders>
            <w:shd w:val="clear" w:color="auto" w:fill="auto"/>
            <w:vAlign w:val="center"/>
            <w:hideMark/>
          </w:tcPr>
          <w:p w14:paraId="5B3586EF"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31</w:t>
            </w:r>
          </w:p>
        </w:tc>
      </w:tr>
      <w:tr w:rsidR="00E31239" w:rsidRPr="00E31239" w14:paraId="78958DBF" w14:textId="77777777" w:rsidTr="00E31239">
        <w:trPr>
          <w:trHeight w:val="300"/>
        </w:trPr>
        <w:tc>
          <w:tcPr>
            <w:tcW w:w="1360" w:type="dxa"/>
            <w:vMerge/>
            <w:tcBorders>
              <w:top w:val="nil"/>
              <w:left w:val="single" w:sz="4" w:space="0" w:color="auto"/>
              <w:bottom w:val="single" w:sz="4" w:space="0" w:color="auto"/>
              <w:right w:val="single" w:sz="4" w:space="0" w:color="auto"/>
            </w:tcBorders>
            <w:vAlign w:val="center"/>
            <w:hideMark/>
          </w:tcPr>
          <w:p w14:paraId="4FC7E625" w14:textId="77777777" w:rsidR="00E31239" w:rsidRPr="00E31239" w:rsidRDefault="00E31239" w:rsidP="00E31239">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vAlign w:val="center"/>
            <w:hideMark/>
          </w:tcPr>
          <w:p w14:paraId="42D4FCA6"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SEG46</w:t>
            </w:r>
          </w:p>
        </w:tc>
        <w:tc>
          <w:tcPr>
            <w:tcW w:w="1660" w:type="dxa"/>
            <w:tcBorders>
              <w:top w:val="nil"/>
              <w:left w:val="nil"/>
              <w:bottom w:val="single" w:sz="4" w:space="0" w:color="auto"/>
              <w:right w:val="single" w:sz="4" w:space="0" w:color="auto"/>
            </w:tcBorders>
            <w:shd w:val="clear" w:color="auto" w:fill="auto"/>
            <w:vAlign w:val="center"/>
            <w:hideMark/>
          </w:tcPr>
          <w:p w14:paraId="7FED32A9"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65</w:t>
            </w:r>
          </w:p>
        </w:tc>
        <w:tc>
          <w:tcPr>
            <w:tcW w:w="1420" w:type="dxa"/>
            <w:tcBorders>
              <w:top w:val="nil"/>
              <w:left w:val="nil"/>
              <w:bottom w:val="single" w:sz="4" w:space="0" w:color="auto"/>
              <w:right w:val="single" w:sz="4" w:space="0" w:color="auto"/>
            </w:tcBorders>
            <w:shd w:val="clear" w:color="auto" w:fill="auto"/>
            <w:vAlign w:val="center"/>
            <w:hideMark/>
          </w:tcPr>
          <w:p w14:paraId="49BD6CBD"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18</w:t>
            </w:r>
          </w:p>
        </w:tc>
        <w:tc>
          <w:tcPr>
            <w:tcW w:w="1340" w:type="dxa"/>
            <w:tcBorders>
              <w:top w:val="nil"/>
              <w:left w:val="nil"/>
              <w:bottom w:val="single" w:sz="4" w:space="0" w:color="auto"/>
              <w:right w:val="single" w:sz="4" w:space="0" w:color="auto"/>
            </w:tcBorders>
            <w:shd w:val="clear" w:color="auto" w:fill="auto"/>
            <w:vAlign w:val="center"/>
            <w:hideMark/>
          </w:tcPr>
          <w:p w14:paraId="03016582"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14</w:t>
            </w:r>
          </w:p>
        </w:tc>
        <w:tc>
          <w:tcPr>
            <w:tcW w:w="1180" w:type="dxa"/>
            <w:tcBorders>
              <w:top w:val="nil"/>
              <w:left w:val="nil"/>
              <w:bottom w:val="single" w:sz="4" w:space="0" w:color="auto"/>
              <w:right w:val="single" w:sz="4" w:space="0" w:color="auto"/>
            </w:tcBorders>
            <w:shd w:val="clear" w:color="auto" w:fill="auto"/>
            <w:vAlign w:val="center"/>
            <w:hideMark/>
          </w:tcPr>
          <w:p w14:paraId="679FCD58" w14:textId="77777777" w:rsidR="00E31239" w:rsidRPr="00E31239" w:rsidRDefault="00E31239" w:rsidP="00E31239">
            <w:pPr>
              <w:spacing w:after="0" w:line="240" w:lineRule="auto"/>
              <w:rPr>
                <w:rFonts w:ascii="Calibri" w:eastAsia="Times New Roman" w:hAnsi="Calibri" w:cs="Times New Roman"/>
                <w:color w:val="000000"/>
              </w:rPr>
            </w:pPr>
            <w:r w:rsidRPr="00E31239">
              <w:rPr>
                <w:rFonts w:ascii="Calibri" w:eastAsia="Times New Roman" w:hAnsi="Calibri" w:cs="Times New Roman"/>
                <w:color w:val="000000"/>
              </w:rPr>
              <w:t>58</w:t>
            </w:r>
          </w:p>
        </w:tc>
      </w:tr>
    </w:tbl>
    <w:p w14:paraId="25DA6039" w14:textId="45AA381C" w:rsidR="00F730F0" w:rsidRDefault="00F730F0">
      <w:pPr>
        <w:rPr>
          <w:rFonts w:cstheme="minorHAnsi"/>
          <w:sz w:val="24"/>
          <w:szCs w:val="24"/>
        </w:rPr>
      </w:pPr>
    </w:p>
    <w:p w14:paraId="44FF8F1B" w14:textId="77777777" w:rsidR="00623C69" w:rsidRDefault="00623C69">
      <w:pPr>
        <w:rPr>
          <w:rFonts w:cstheme="minorHAnsi"/>
          <w:sz w:val="24"/>
          <w:szCs w:val="24"/>
        </w:rPr>
      </w:pPr>
    </w:p>
    <w:p w14:paraId="78546991" w14:textId="77777777" w:rsidR="00623C69" w:rsidRPr="00CF4C2B" w:rsidRDefault="00623C69" w:rsidP="00623C69">
      <w:pPr>
        <w:pStyle w:val="Heading2"/>
        <w:rPr>
          <w:color w:val="auto"/>
        </w:rPr>
      </w:pPr>
      <w:r w:rsidRPr="00CF4C2B">
        <w:rPr>
          <w:color w:val="auto"/>
        </w:rPr>
        <w:t xml:space="preserve">Table S2: List of species in the main dataset and in the subset of species found in 4 or more plots. IUCN Red list status 2015 in parenthesis: Data Deficient (DD), Least Concern (LC), Near Threatened (NT), Vulnerable (VU) </w:t>
      </w:r>
    </w:p>
    <w:p w14:paraId="5962D9E2" w14:textId="77777777" w:rsidR="00623C69" w:rsidRDefault="00623C69" w:rsidP="00623C69">
      <w:pPr>
        <w:pStyle w:val="Tableheading"/>
      </w:pPr>
    </w:p>
    <w:tbl>
      <w:tblPr>
        <w:tblW w:w="7366" w:type="dxa"/>
        <w:tblLook w:val="04A0" w:firstRow="1" w:lastRow="0" w:firstColumn="1" w:lastColumn="0" w:noHBand="0" w:noVBand="1"/>
      </w:tblPr>
      <w:tblGrid>
        <w:gridCol w:w="3660"/>
        <w:gridCol w:w="3706"/>
      </w:tblGrid>
      <w:tr w:rsidR="00623C69" w:rsidRPr="00BB0098" w14:paraId="4CE3BCAA" w14:textId="77777777" w:rsidTr="004D533F">
        <w:trPr>
          <w:trHeight w:val="300"/>
        </w:trPr>
        <w:tc>
          <w:tcPr>
            <w:tcW w:w="3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D96D5" w14:textId="77777777" w:rsidR="00623C69" w:rsidRPr="00BB0098" w:rsidRDefault="00623C69" w:rsidP="004D533F">
            <w:pPr>
              <w:spacing w:after="0" w:line="240" w:lineRule="auto"/>
              <w:rPr>
                <w:rFonts w:ascii="Calibri" w:eastAsia="Times New Roman" w:hAnsi="Calibri" w:cs="Calibri"/>
                <w:b/>
                <w:bCs/>
                <w:color w:val="000000"/>
              </w:rPr>
            </w:pPr>
            <w:r w:rsidRPr="00BB0098">
              <w:rPr>
                <w:rFonts w:ascii="Calibri" w:eastAsia="Times New Roman" w:hAnsi="Calibri" w:cs="Calibri"/>
                <w:b/>
                <w:bCs/>
                <w:color w:val="000000"/>
              </w:rPr>
              <w:t>Present in 4 or more plots (common)</w:t>
            </w:r>
          </w:p>
        </w:tc>
        <w:tc>
          <w:tcPr>
            <w:tcW w:w="3706" w:type="dxa"/>
            <w:tcBorders>
              <w:top w:val="single" w:sz="4" w:space="0" w:color="auto"/>
              <w:left w:val="nil"/>
              <w:bottom w:val="single" w:sz="4" w:space="0" w:color="auto"/>
              <w:right w:val="single" w:sz="4" w:space="0" w:color="auto"/>
            </w:tcBorders>
            <w:shd w:val="clear" w:color="auto" w:fill="auto"/>
            <w:noWrap/>
            <w:vAlign w:val="bottom"/>
            <w:hideMark/>
          </w:tcPr>
          <w:p w14:paraId="7BA03A26" w14:textId="77777777" w:rsidR="00623C69" w:rsidRPr="00BB0098" w:rsidRDefault="00623C69" w:rsidP="004D533F">
            <w:pPr>
              <w:spacing w:after="0" w:line="240" w:lineRule="auto"/>
              <w:rPr>
                <w:rFonts w:ascii="Calibri" w:eastAsia="Times New Roman" w:hAnsi="Calibri" w:cs="Calibri"/>
                <w:b/>
                <w:bCs/>
                <w:color w:val="000000"/>
              </w:rPr>
            </w:pPr>
            <w:r w:rsidRPr="00BB0098">
              <w:rPr>
                <w:rFonts w:ascii="Calibri" w:eastAsia="Times New Roman" w:hAnsi="Calibri" w:cs="Calibri"/>
                <w:b/>
                <w:bCs/>
                <w:color w:val="000000"/>
              </w:rPr>
              <w:t>Present in less than 4 plots (rare)</w:t>
            </w:r>
          </w:p>
        </w:tc>
      </w:tr>
      <w:tr w:rsidR="00623C69" w:rsidRPr="00BB0098" w14:paraId="6CEB4307"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99F25" w14:textId="77777777" w:rsidR="00623C69" w:rsidRPr="00BB0098" w:rsidRDefault="00623C69" w:rsidP="004D533F">
            <w:pPr>
              <w:spacing w:after="0" w:line="240" w:lineRule="auto"/>
              <w:jc w:val="center"/>
              <w:rPr>
                <w:rFonts w:ascii="Calibri" w:eastAsia="Times New Roman" w:hAnsi="Calibri" w:cs="Calibri"/>
                <w:b/>
                <w:bCs/>
                <w:i/>
                <w:iCs/>
                <w:color w:val="000000"/>
              </w:rPr>
            </w:pPr>
            <w:r w:rsidRPr="00BB0098">
              <w:rPr>
                <w:rFonts w:ascii="Calibri" w:eastAsia="Times New Roman" w:hAnsi="Calibri" w:cs="Calibri"/>
                <w:b/>
                <w:bCs/>
                <w:i/>
                <w:iCs/>
                <w:color w:val="000000"/>
              </w:rPr>
              <w:t>Andrena sp.</w:t>
            </w:r>
          </w:p>
        </w:tc>
      </w:tr>
      <w:tr w:rsidR="00623C69" w:rsidRPr="00BB0098" w14:paraId="5B03FD4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87755A9"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Andrena_bicolor</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351E007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Andrena_alfkenella</w:t>
            </w:r>
            <w:proofErr w:type="spellEnd"/>
            <w:r w:rsidRPr="00BB0098">
              <w:rPr>
                <w:rFonts w:ascii="Calibri" w:eastAsia="Times New Roman" w:hAnsi="Calibri" w:cs="Calibri"/>
                <w:i/>
                <w:iCs/>
                <w:color w:val="000000"/>
              </w:rPr>
              <w:t xml:space="preserve"> (DD)</w:t>
            </w:r>
          </w:p>
        </w:tc>
      </w:tr>
      <w:tr w:rsidR="00623C69" w:rsidRPr="00BB0098" w14:paraId="577D45C9"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317EA1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Andrena_cineraria</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077CBD7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Andrena_angustior</w:t>
            </w:r>
            <w:proofErr w:type="spellEnd"/>
            <w:r w:rsidRPr="00BB0098">
              <w:rPr>
                <w:rFonts w:ascii="Calibri" w:eastAsia="Times New Roman" w:hAnsi="Calibri" w:cs="Calibri"/>
                <w:i/>
                <w:iCs/>
                <w:color w:val="000000"/>
              </w:rPr>
              <w:t xml:space="preserve"> (DD)</w:t>
            </w:r>
          </w:p>
        </w:tc>
      </w:tr>
      <w:tr w:rsidR="00623C69" w:rsidRPr="00BB0098" w14:paraId="4287928D"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7BEB1BC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Andrena_dorsata</w:t>
            </w:r>
            <w:proofErr w:type="spellEnd"/>
            <w:r w:rsidRPr="00BB0098">
              <w:rPr>
                <w:rFonts w:ascii="Calibri" w:eastAsia="Times New Roman" w:hAnsi="Calibri" w:cs="Calibri"/>
                <w:i/>
                <w:iCs/>
                <w:color w:val="000000"/>
              </w:rPr>
              <w:t xml:space="preserve"> (DD)</w:t>
            </w:r>
          </w:p>
        </w:tc>
        <w:tc>
          <w:tcPr>
            <w:tcW w:w="3706" w:type="dxa"/>
            <w:tcBorders>
              <w:top w:val="nil"/>
              <w:left w:val="nil"/>
              <w:bottom w:val="single" w:sz="4" w:space="0" w:color="auto"/>
              <w:right w:val="single" w:sz="4" w:space="0" w:color="auto"/>
            </w:tcBorders>
            <w:shd w:val="clear" w:color="000000" w:fill="EDEDED"/>
            <w:noWrap/>
            <w:vAlign w:val="bottom"/>
            <w:hideMark/>
          </w:tcPr>
          <w:p w14:paraId="05950FB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Andrena_barbilabris</w:t>
            </w:r>
            <w:proofErr w:type="spellEnd"/>
            <w:r w:rsidRPr="00BB0098">
              <w:rPr>
                <w:rFonts w:ascii="Calibri" w:eastAsia="Times New Roman" w:hAnsi="Calibri" w:cs="Calibri"/>
                <w:i/>
                <w:iCs/>
                <w:color w:val="000000"/>
              </w:rPr>
              <w:t xml:space="preserve"> (DD)</w:t>
            </w:r>
          </w:p>
        </w:tc>
      </w:tr>
      <w:tr w:rsidR="00623C69" w:rsidRPr="00BB0098" w14:paraId="5B7E6C8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60E0D3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Andrena_flavipes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441E5A6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Andrena_chrysosceles</w:t>
            </w:r>
            <w:proofErr w:type="spellEnd"/>
            <w:r w:rsidRPr="00BB0098">
              <w:rPr>
                <w:rFonts w:ascii="Calibri" w:eastAsia="Times New Roman" w:hAnsi="Calibri" w:cs="Calibri"/>
                <w:i/>
                <w:iCs/>
                <w:color w:val="000000"/>
              </w:rPr>
              <w:t xml:space="preserve"> (DD)</w:t>
            </w:r>
          </w:p>
        </w:tc>
      </w:tr>
      <w:tr w:rsidR="00623C69" w:rsidRPr="00BB0098" w14:paraId="7878E19E"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1C15FB04"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Andrena_fulvago</w:t>
            </w:r>
            <w:proofErr w:type="spellEnd"/>
            <w:r w:rsidRPr="00BB0098">
              <w:rPr>
                <w:rFonts w:ascii="Calibri" w:eastAsia="Times New Roman" w:hAnsi="Calibri" w:cs="Calibri"/>
                <w:i/>
                <w:iCs/>
                <w:color w:val="000000"/>
              </w:rPr>
              <w:t xml:space="preserve"> (DD)</w:t>
            </w:r>
          </w:p>
        </w:tc>
        <w:tc>
          <w:tcPr>
            <w:tcW w:w="3706" w:type="dxa"/>
            <w:tcBorders>
              <w:top w:val="nil"/>
              <w:left w:val="nil"/>
              <w:bottom w:val="single" w:sz="4" w:space="0" w:color="auto"/>
              <w:right w:val="single" w:sz="4" w:space="0" w:color="auto"/>
            </w:tcBorders>
            <w:shd w:val="clear" w:color="000000" w:fill="EDEDED"/>
            <w:noWrap/>
            <w:vAlign w:val="bottom"/>
            <w:hideMark/>
          </w:tcPr>
          <w:p w14:paraId="124B93F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Andrena_florea</w:t>
            </w:r>
            <w:proofErr w:type="spellEnd"/>
            <w:r w:rsidRPr="00BB0098">
              <w:rPr>
                <w:rFonts w:ascii="Calibri" w:eastAsia="Times New Roman" w:hAnsi="Calibri" w:cs="Calibri"/>
                <w:i/>
                <w:iCs/>
                <w:color w:val="000000"/>
              </w:rPr>
              <w:t xml:space="preserve"> (DD)</w:t>
            </w:r>
          </w:p>
        </w:tc>
      </w:tr>
      <w:tr w:rsidR="00623C69" w:rsidRPr="00BB0098" w14:paraId="03450B32"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507457A5"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Andrena_gravida</w:t>
            </w:r>
            <w:proofErr w:type="spellEnd"/>
            <w:r w:rsidRPr="00BB0098">
              <w:rPr>
                <w:rFonts w:ascii="Calibri" w:eastAsia="Times New Roman" w:hAnsi="Calibri" w:cs="Calibri"/>
                <w:i/>
                <w:iCs/>
                <w:color w:val="000000"/>
              </w:rPr>
              <w:t xml:space="preserve"> (DD)</w:t>
            </w:r>
          </w:p>
        </w:tc>
        <w:tc>
          <w:tcPr>
            <w:tcW w:w="3706" w:type="dxa"/>
            <w:tcBorders>
              <w:top w:val="nil"/>
              <w:left w:val="nil"/>
              <w:bottom w:val="single" w:sz="4" w:space="0" w:color="auto"/>
              <w:right w:val="single" w:sz="4" w:space="0" w:color="auto"/>
            </w:tcBorders>
            <w:shd w:val="clear" w:color="auto" w:fill="auto"/>
            <w:noWrap/>
            <w:vAlign w:val="bottom"/>
            <w:hideMark/>
          </w:tcPr>
          <w:p w14:paraId="1A53287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Andrena_florivaga</w:t>
            </w:r>
            <w:proofErr w:type="spellEnd"/>
            <w:r w:rsidRPr="00BB0098">
              <w:rPr>
                <w:rFonts w:ascii="Calibri" w:eastAsia="Times New Roman" w:hAnsi="Calibri" w:cs="Calibri"/>
                <w:i/>
                <w:iCs/>
                <w:color w:val="000000"/>
              </w:rPr>
              <w:t xml:space="preserve"> (LC)</w:t>
            </w:r>
          </w:p>
        </w:tc>
      </w:tr>
      <w:tr w:rsidR="00623C69" w:rsidRPr="00BB0098" w14:paraId="664963FA"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ACB311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Andrena_haemorrhoa</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3027147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Andrena_fulva</w:t>
            </w:r>
            <w:proofErr w:type="spellEnd"/>
            <w:r w:rsidRPr="00BB0098">
              <w:rPr>
                <w:rFonts w:ascii="Calibri" w:eastAsia="Times New Roman" w:hAnsi="Calibri" w:cs="Calibri"/>
                <w:i/>
                <w:iCs/>
                <w:color w:val="000000"/>
              </w:rPr>
              <w:t xml:space="preserve"> (DD)</w:t>
            </w:r>
          </w:p>
        </w:tc>
      </w:tr>
      <w:tr w:rsidR="00623C69" w:rsidRPr="00BB0098" w14:paraId="2AEFFFCC"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288D4C5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Andrena_labialis</w:t>
            </w:r>
            <w:proofErr w:type="spellEnd"/>
            <w:r w:rsidRPr="00BB0098">
              <w:rPr>
                <w:rFonts w:ascii="Calibri" w:eastAsia="Times New Roman" w:hAnsi="Calibri" w:cs="Calibri"/>
                <w:i/>
                <w:iCs/>
                <w:color w:val="000000"/>
              </w:rPr>
              <w:t xml:space="preserve"> (DD)</w:t>
            </w:r>
          </w:p>
        </w:tc>
        <w:tc>
          <w:tcPr>
            <w:tcW w:w="3706" w:type="dxa"/>
            <w:tcBorders>
              <w:top w:val="nil"/>
              <w:left w:val="nil"/>
              <w:bottom w:val="single" w:sz="4" w:space="0" w:color="auto"/>
              <w:right w:val="single" w:sz="4" w:space="0" w:color="auto"/>
            </w:tcBorders>
            <w:shd w:val="clear" w:color="000000" w:fill="EDEDED"/>
            <w:noWrap/>
            <w:vAlign w:val="bottom"/>
            <w:hideMark/>
          </w:tcPr>
          <w:p w14:paraId="4FB697F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Andrena_fulvata</w:t>
            </w:r>
            <w:proofErr w:type="spellEnd"/>
            <w:r w:rsidRPr="00BB0098">
              <w:rPr>
                <w:rFonts w:ascii="Calibri" w:eastAsia="Times New Roman" w:hAnsi="Calibri" w:cs="Calibri"/>
                <w:i/>
                <w:iCs/>
                <w:color w:val="000000"/>
              </w:rPr>
              <w:t xml:space="preserve"> (DD)</w:t>
            </w:r>
          </w:p>
        </w:tc>
      </w:tr>
      <w:tr w:rsidR="00623C69" w:rsidRPr="00BB0098" w14:paraId="704C526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43509A1"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Andrena_nigroaenea</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11BF3B2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Andrena_helvola</w:t>
            </w:r>
            <w:proofErr w:type="spellEnd"/>
            <w:r w:rsidRPr="00BB0098">
              <w:rPr>
                <w:rFonts w:ascii="Calibri" w:eastAsia="Times New Roman" w:hAnsi="Calibri" w:cs="Calibri"/>
                <w:i/>
                <w:iCs/>
                <w:color w:val="000000"/>
              </w:rPr>
              <w:t xml:space="preserve"> (DD)</w:t>
            </w:r>
          </w:p>
        </w:tc>
      </w:tr>
      <w:tr w:rsidR="00623C69" w:rsidRPr="00BB0098" w14:paraId="1145917C"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B031FF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Andrena_nitida</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EDEDED"/>
            <w:noWrap/>
            <w:vAlign w:val="bottom"/>
            <w:hideMark/>
          </w:tcPr>
          <w:p w14:paraId="01ED8CF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Andrena_labiata</w:t>
            </w:r>
            <w:proofErr w:type="spellEnd"/>
            <w:r w:rsidRPr="00BB0098">
              <w:rPr>
                <w:rFonts w:ascii="Calibri" w:eastAsia="Times New Roman" w:hAnsi="Calibri" w:cs="Calibri"/>
                <w:i/>
                <w:iCs/>
                <w:color w:val="000000"/>
              </w:rPr>
              <w:t xml:space="preserve"> (DD)</w:t>
            </w:r>
          </w:p>
        </w:tc>
      </w:tr>
      <w:tr w:rsidR="00623C69" w:rsidRPr="00BB0098" w14:paraId="0FD0C746"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FCE4D6"/>
            <w:noWrap/>
            <w:vAlign w:val="bottom"/>
            <w:hideMark/>
          </w:tcPr>
          <w:p w14:paraId="34EB0CE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Andrena_ovatula</w:t>
            </w:r>
            <w:proofErr w:type="spellEnd"/>
            <w:r w:rsidRPr="00BB0098">
              <w:rPr>
                <w:rFonts w:ascii="Calibri" w:eastAsia="Times New Roman" w:hAnsi="Calibri" w:cs="Calibri"/>
                <w:i/>
                <w:iCs/>
                <w:color w:val="000000"/>
              </w:rPr>
              <w:t xml:space="preserve"> (NT)</w:t>
            </w:r>
          </w:p>
        </w:tc>
        <w:tc>
          <w:tcPr>
            <w:tcW w:w="3706" w:type="dxa"/>
            <w:tcBorders>
              <w:top w:val="nil"/>
              <w:left w:val="nil"/>
              <w:bottom w:val="single" w:sz="4" w:space="0" w:color="auto"/>
              <w:right w:val="single" w:sz="4" w:space="0" w:color="auto"/>
            </w:tcBorders>
            <w:shd w:val="clear" w:color="000000" w:fill="EDEDED"/>
            <w:noWrap/>
            <w:vAlign w:val="bottom"/>
            <w:hideMark/>
          </w:tcPr>
          <w:p w14:paraId="385AD601"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Andrena_minutula</w:t>
            </w:r>
            <w:proofErr w:type="spellEnd"/>
            <w:r w:rsidRPr="00BB0098">
              <w:rPr>
                <w:rFonts w:ascii="Calibri" w:eastAsia="Times New Roman" w:hAnsi="Calibri" w:cs="Calibri"/>
                <w:i/>
                <w:iCs/>
                <w:color w:val="000000"/>
              </w:rPr>
              <w:t xml:space="preserve"> (DD)</w:t>
            </w:r>
          </w:p>
        </w:tc>
      </w:tr>
      <w:tr w:rsidR="00623C69" w:rsidRPr="00BB0098" w14:paraId="7DC77B26"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577972E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Andrena_wilkella</w:t>
            </w:r>
            <w:proofErr w:type="spellEnd"/>
            <w:r w:rsidRPr="00BB0098">
              <w:rPr>
                <w:rFonts w:ascii="Calibri" w:eastAsia="Times New Roman" w:hAnsi="Calibri" w:cs="Calibri"/>
                <w:i/>
                <w:iCs/>
                <w:color w:val="000000"/>
              </w:rPr>
              <w:t xml:space="preserve"> (DD)</w:t>
            </w:r>
          </w:p>
        </w:tc>
        <w:tc>
          <w:tcPr>
            <w:tcW w:w="3706" w:type="dxa"/>
            <w:tcBorders>
              <w:top w:val="nil"/>
              <w:left w:val="nil"/>
              <w:bottom w:val="single" w:sz="4" w:space="0" w:color="auto"/>
              <w:right w:val="single" w:sz="4" w:space="0" w:color="auto"/>
            </w:tcBorders>
            <w:shd w:val="clear" w:color="000000" w:fill="EDEDED"/>
            <w:noWrap/>
            <w:vAlign w:val="bottom"/>
            <w:hideMark/>
          </w:tcPr>
          <w:p w14:paraId="693A547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Andrena_minutuloides</w:t>
            </w:r>
            <w:proofErr w:type="spellEnd"/>
            <w:r w:rsidRPr="00BB0098">
              <w:rPr>
                <w:rFonts w:ascii="Calibri" w:eastAsia="Times New Roman" w:hAnsi="Calibri" w:cs="Calibri"/>
                <w:i/>
                <w:iCs/>
                <w:color w:val="000000"/>
              </w:rPr>
              <w:t xml:space="preserve"> (DD)</w:t>
            </w:r>
          </w:p>
        </w:tc>
      </w:tr>
      <w:tr w:rsidR="00623C69" w:rsidRPr="00BB0098" w14:paraId="3F92AE0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8CC4ECC"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00F7DAD4"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Andrena_nitidiuscula</w:t>
            </w:r>
            <w:proofErr w:type="spellEnd"/>
            <w:r w:rsidRPr="00BB0098">
              <w:rPr>
                <w:rFonts w:ascii="Calibri" w:eastAsia="Times New Roman" w:hAnsi="Calibri" w:cs="Calibri"/>
                <w:i/>
                <w:iCs/>
                <w:color w:val="000000"/>
              </w:rPr>
              <w:t xml:space="preserve"> (LC)</w:t>
            </w:r>
          </w:p>
        </w:tc>
      </w:tr>
      <w:tr w:rsidR="00623C69" w:rsidRPr="00BB0098" w14:paraId="33D185E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92A8F5D"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70CAEC2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Andrena_proxima</w:t>
            </w:r>
            <w:proofErr w:type="spellEnd"/>
            <w:r w:rsidRPr="00BB0098">
              <w:rPr>
                <w:rFonts w:ascii="Calibri" w:eastAsia="Times New Roman" w:hAnsi="Calibri" w:cs="Calibri"/>
                <w:i/>
                <w:iCs/>
                <w:color w:val="000000"/>
              </w:rPr>
              <w:t xml:space="preserve"> (DD)</w:t>
            </w:r>
          </w:p>
        </w:tc>
      </w:tr>
      <w:tr w:rsidR="00623C69" w:rsidRPr="00BB0098" w14:paraId="07A4C75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809E521"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7EA7D509"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Andrena_scotica</w:t>
            </w:r>
            <w:proofErr w:type="spellEnd"/>
            <w:r w:rsidRPr="00BB0098">
              <w:rPr>
                <w:rFonts w:ascii="Calibri" w:eastAsia="Times New Roman" w:hAnsi="Calibri" w:cs="Calibri"/>
                <w:i/>
                <w:iCs/>
                <w:color w:val="000000"/>
              </w:rPr>
              <w:t xml:space="preserve"> (DD)</w:t>
            </w:r>
          </w:p>
        </w:tc>
      </w:tr>
      <w:tr w:rsidR="00623C69" w:rsidRPr="00BB0098" w14:paraId="315AB4BB"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780EF75"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086F4FF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Andrena_semilaevis</w:t>
            </w:r>
            <w:proofErr w:type="spellEnd"/>
            <w:r w:rsidRPr="00BB0098">
              <w:rPr>
                <w:rFonts w:ascii="Calibri" w:eastAsia="Times New Roman" w:hAnsi="Calibri" w:cs="Calibri"/>
                <w:i/>
                <w:iCs/>
                <w:color w:val="000000"/>
              </w:rPr>
              <w:t xml:space="preserve"> (DD)</w:t>
            </w:r>
          </w:p>
        </w:tc>
      </w:tr>
      <w:tr w:rsidR="00623C69" w:rsidRPr="00BB0098" w14:paraId="099FEB9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FD43E26"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0C613E4E"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Andrena_subopaca</w:t>
            </w:r>
            <w:proofErr w:type="spellEnd"/>
            <w:r w:rsidRPr="00BB0098">
              <w:rPr>
                <w:rFonts w:ascii="Calibri" w:eastAsia="Times New Roman" w:hAnsi="Calibri" w:cs="Calibri"/>
                <w:i/>
                <w:iCs/>
                <w:color w:val="000000"/>
              </w:rPr>
              <w:t xml:space="preserve"> (LC)</w:t>
            </w:r>
          </w:p>
        </w:tc>
      </w:tr>
      <w:tr w:rsidR="00623C69" w:rsidRPr="00BB0098" w14:paraId="3A8ED188"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71E9F21"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4CCB9E9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Andrena_tibialis</w:t>
            </w:r>
            <w:proofErr w:type="spellEnd"/>
            <w:r w:rsidRPr="00BB0098">
              <w:rPr>
                <w:rFonts w:ascii="Calibri" w:eastAsia="Times New Roman" w:hAnsi="Calibri" w:cs="Calibri"/>
                <w:i/>
                <w:iCs/>
                <w:color w:val="000000"/>
              </w:rPr>
              <w:t xml:space="preserve"> (LC)</w:t>
            </w:r>
          </w:p>
        </w:tc>
      </w:tr>
      <w:tr w:rsidR="00623C69" w:rsidRPr="00BB0098" w14:paraId="4D6BE14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409125F"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3B12705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Andrena_vaga</w:t>
            </w:r>
            <w:proofErr w:type="spellEnd"/>
            <w:r w:rsidRPr="00BB0098">
              <w:rPr>
                <w:rFonts w:ascii="Calibri" w:eastAsia="Times New Roman" w:hAnsi="Calibri" w:cs="Calibri"/>
                <w:i/>
                <w:iCs/>
                <w:color w:val="000000"/>
              </w:rPr>
              <w:t xml:space="preserve"> (LC)</w:t>
            </w:r>
          </w:p>
        </w:tc>
      </w:tr>
      <w:tr w:rsidR="00623C69" w:rsidRPr="00BB0098" w14:paraId="68922AA5"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EADC1A0"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2AE9DB6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Andrena_viridescens</w:t>
            </w:r>
            <w:proofErr w:type="spellEnd"/>
            <w:r w:rsidRPr="00BB0098">
              <w:rPr>
                <w:rFonts w:ascii="Calibri" w:eastAsia="Times New Roman" w:hAnsi="Calibri" w:cs="Calibri"/>
                <w:i/>
                <w:iCs/>
                <w:color w:val="000000"/>
              </w:rPr>
              <w:t xml:space="preserve"> (DD)</w:t>
            </w:r>
          </w:p>
        </w:tc>
      </w:tr>
      <w:tr w:rsidR="00623C69" w:rsidRPr="00BB0098" w14:paraId="16B31F15"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A7AF94C"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6ABAAE06"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Anthophora_aestivalis</w:t>
            </w:r>
            <w:proofErr w:type="spellEnd"/>
            <w:r w:rsidRPr="00BB0098">
              <w:rPr>
                <w:rFonts w:ascii="Calibri" w:eastAsia="Times New Roman" w:hAnsi="Calibri" w:cs="Calibri"/>
                <w:i/>
                <w:iCs/>
                <w:color w:val="000000"/>
              </w:rPr>
              <w:t xml:space="preserve"> (LC)</w:t>
            </w:r>
          </w:p>
        </w:tc>
      </w:tr>
      <w:tr w:rsidR="00623C69" w:rsidRPr="00BB0098" w14:paraId="295AA0E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0BC289D"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D6F13E1"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Anthophora_plumipes</w:t>
            </w:r>
            <w:proofErr w:type="spellEnd"/>
            <w:r w:rsidRPr="00BB0098">
              <w:rPr>
                <w:rFonts w:ascii="Calibri" w:eastAsia="Times New Roman" w:hAnsi="Calibri" w:cs="Calibri"/>
                <w:i/>
                <w:iCs/>
                <w:color w:val="000000"/>
              </w:rPr>
              <w:t xml:space="preserve"> (LC)</w:t>
            </w:r>
          </w:p>
        </w:tc>
      </w:tr>
      <w:tr w:rsidR="00623C69" w:rsidRPr="00BB0098" w14:paraId="334BE620"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B11F0" w14:textId="77777777" w:rsidR="00623C69" w:rsidRPr="00BB0098" w:rsidRDefault="00623C69" w:rsidP="004D533F">
            <w:pPr>
              <w:spacing w:after="0" w:line="240" w:lineRule="auto"/>
              <w:jc w:val="center"/>
              <w:rPr>
                <w:rFonts w:ascii="Calibri" w:eastAsia="Times New Roman" w:hAnsi="Calibri" w:cs="Calibri"/>
                <w:b/>
                <w:bCs/>
                <w:i/>
                <w:iCs/>
                <w:color w:val="000000"/>
              </w:rPr>
            </w:pPr>
            <w:r w:rsidRPr="00BB0098">
              <w:rPr>
                <w:rFonts w:ascii="Calibri" w:eastAsia="Times New Roman" w:hAnsi="Calibri" w:cs="Calibri"/>
                <w:b/>
                <w:bCs/>
                <w:i/>
                <w:iCs/>
                <w:color w:val="000000"/>
              </w:rPr>
              <w:t>Apis sp.</w:t>
            </w:r>
          </w:p>
        </w:tc>
      </w:tr>
      <w:tr w:rsidR="00623C69" w:rsidRPr="00BB0098" w14:paraId="4CCBB90E"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EDEDED"/>
            <w:noWrap/>
            <w:vAlign w:val="bottom"/>
            <w:hideMark/>
          </w:tcPr>
          <w:p w14:paraId="01C82D79"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Apis_mellifera</w:t>
            </w:r>
            <w:proofErr w:type="spellEnd"/>
            <w:r w:rsidRPr="00BB0098">
              <w:rPr>
                <w:rFonts w:ascii="Calibri" w:eastAsia="Times New Roman" w:hAnsi="Calibri" w:cs="Calibri"/>
                <w:i/>
                <w:iCs/>
                <w:color w:val="000000"/>
              </w:rPr>
              <w:t xml:space="preserve"> (wild) (DD)</w:t>
            </w:r>
          </w:p>
        </w:tc>
        <w:tc>
          <w:tcPr>
            <w:tcW w:w="3706" w:type="dxa"/>
            <w:tcBorders>
              <w:top w:val="nil"/>
              <w:left w:val="nil"/>
              <w:bottom w:val="single" w:sz="4" w:space="0" w:color="auto"/>
              <w:right w:val="single" w:sz="4" w:space="0" w:color="auto"/>
            </w:tcBorders>
            <w:shd w:val="clear" w:color="auto" w:fill="auto"/>
            <w:noWrap/>
            <w:vAlign w:val="bottom"/>
            <w:hideMark/>
          </w:tcPr>
          <w:p w14:paraId="7785383F"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650A5EA0"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73BB5" w14:textId="77777777" w:rsidR="00623C69" w:rsidRPr="00BB0098" w:rsidRDefault="00623C69" w:rsidP="004D533F">
            <w:pPr>
              <w:spacing w:after="0" w:line="240" w:lineRule="auto"/>
              <w:jc w:val="center"/>
              <w:rPr>
                <w:rFonts w:ascii="Calibri" w:eastAsia="Times New Roman" w:hAnsi="Calibri" w:cs="Calibri"/>
                <w:b/>
                <w:bCs/>
                <w:i/>
                <w:iCs/>
                <w:color w:val="000000"/>
              </w:rPr>
            </w:pPr>
            <w:r w:rsidRPr="00BB0098">
              <w:rPr>
                <w:rFonts w:ascii="Calibri" w:eastAsia="Times New Roman" w:hAnsi="Calibri" w:cs="Calibri"/>
                <w:b/>
                <w:bCs/>
                <w:i/>
                <w:iCs/>
                <w:color w:val="000000"/>
              </w:rPr>
              <w:t>Bombus sp.</w:t>
            </w:r>
          </w:p>
        </w:tc>
      </w:tr>
      <w:tr w:rsidR="00623C69" w:rsidRPr="00BB0098" w14:paraId="0FBA5B9B"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9DD121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lastRenderedPageBreak/>
              <w:t>Bombus_hortorum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110BE0C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Bombus_jonellus</w:t>
            </w:r>
            <w:proofErr w:type="spellEnd"/>
            <w:r w:rsidRPr="00BB0098">
              <w:rPr>
                <w:rFonts w:ascii="Calibri" w:eastAsia="Times New Roman" w:hAnsi="Calibri" w:cs="Calibri"/>
                <w:i/>
                <w:iCs/>
                <w:color w:val="000000"/>
              </w:rPr>
              <w:t xml:space="preserve"> (LC)</w:t>
            </w:r>
          </w:p>
        </w:tc>
      </w:tr>
      <w:tr w:rsidR="00623C69" w:rsidRPr="00BB0098" w14:paraId="0402EAA0"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B58F6B6"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Bombus_humilis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FCE4D6"/>
            <w:noWrap/>
            <w:vAlign w:val="bottom"/>
            <w:hideMark/>
          </w:tcPr>
          <w:p w14:paraId="1EFDA72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Bombus_muscorum</w:t>
            </w:r>
            <w:proofErr w:type="spellEnd"/>
            <w:r w:rsidRPr="00BB0098">
              <w:rPr>
                <w:rFonts w:ascii="Calibri" w:eastAsia="Times New Roman" w:hAnsi="Calibri" w:cs="Calibri"/>
                <w:i/>
                <w:iCs/>
                <w:color w:val="000000"/>
              </w:rPr>
              <w:t xml:space="preserve"> (VU)</w:t>
            </w:r>
          </w:p>
        </w:tc>
      </w:tr>
      <w:tr w:rsidR="00623C69" w:rsidRPr="00BB0098" w14:paraId="5CF0BBF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EEFB2F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Bombus_hypnorum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4CB1D2C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Bombus_ruderarius</w:t>
            </w:r>
            <w:proofErr w:type="spellEnd"/>
            <w:r w:rsidRPr="00BB0098">
              <w:rPr>
                <w:rFonts w:ascii="Calibri" w:eastAsia="Times New Roman" w:hAnsi="Calibri" w:cs="Calibri"/>
                <w:i/>
                <w:iCs/>
                <w:color w:val="000000"/>
              </w:rPr>
              <w:t xml:space="preserve"> (LC)</w:t>
            </w:r>
          </w:p>
        </w:tc>
      </w:tr>
      <w:tr w:rsidR="00623C69" w:rsidRPr="00BB0098" w14:paraId="1828B192"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A66F29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Bombus_lapidarius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7A75E6E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Bombus_subterraneus</w:t>
            </w:r>
            <w:proofErr w:type="spellEnd"/>
            <w:r w:rsidRPr="00BB0098">
              <w:rPr>
                <w:rFonts w:ascii="Calibri" w:eastAsia="Times New Roman" w:hAnsi="Calibri" w:cs="Calibri"/>
                <w:i/>
                <w:iCs/>
                <w:color w:val="000000"/>
              </w:rPr>
              <w:t xml:space="preserve"> (LC)</w:t>
            </w:r>
          </w:p>
        </w:tc>
      </w:tr>
      <w:tr w:rsidR="00623C69" w:rsidRPr="00BB0098" w14:paraId="74E5497B"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C30EC9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Bombus_lucorum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2BF1C37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Bombus_wurflenii</w:t>
            </w:r>
            <w:proofErr w:type="spellEnd"/>
            <w:r w:rsidRPr="00BB0098">
              <w:rPr>
                <w:rFonts w:ascii="Calibri" w:eastAsia="Times New Roman" w:hAnsi="Calibri" w:cs="Calibri"/>
                <w:i/>
                <w:iCs/>
                <w:color w:val="000000"/>
              </w:rPr>
              <w:t xml:space="preserve"> (LC)</w:t>
            </w:r>
          </w:p>
        </w:tc>
      </w:tr>
      <w:tr w:rsidR="00623C69" w:rsidRPr="00BB0098" w14:paraId="19AEBA8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B40E0EE"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Bombus_pascuorum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2301DE02"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3314019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35E78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Bombus_pratorum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31FF8813"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28E6ED2F"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18CE82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Bombus_soroeensis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35B2D6CB"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3FFDD0E7"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E25E9D5"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Bombus_sylvarum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4F886E57"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00FDD3B7"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7440AD5"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Bombus_terrestris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586049D8"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07003037"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FCAB4"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Cerati</w:t>
            </w:r>
            <w:r>
              <w:rPr>
                <w:rFonts w:ascii="Calibri" w:eastAsia="Times New Roman" w:hAnsi="Calibri" w:cs="Calibri"/>
                <w:b/>
                <w:bCs/>
                <w:i/>
                <w:iCs/>
                <w:color w:val="000000"/>
              </w:rPr>
              <w:t>n</w:t>
            </w:r>
            <w:r w:rsidRPr="00BB0098">
              <w:rPr>
                <w:rFonts w:ascii="Calibri" w:eastAsia="Times New Roman" w:hAnsi="Calibri" w:cs="Calibri"/>
                <w:b/>
                <w:bCs/>
                <w:i/>
                <w:iCs/>
                <w:color w:val="000000"/>
              </w:rPr>
              <w:t>a</w:t>
            </w:r>
            <w:proofErr w:type="spellEnd"/>
            <w:r w:rsidRPr="00BB0098">
              <w:rPr>
                <w:rFonts w:ascii="Calibri" w:eastAsia="Times New Roman" w:hAnsi="Calibri" w:cs="Calibri"/>
                <w:b/>
                <w:bCs/>
                <w:i/>
                <w:iCs/>
                <w:color w:val="000000"/>
              </w:rPr>
              <w:t xml:space="preserve"> sp.</w:t>
            </w:r>
          </w:p>
        </w:tc>
      </w:tr>
      <w:tr w:rsidR="00623C69" w:rsidRPr="00BB0098" w14:paraId="08A4DE6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D465E46"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F9B6CA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Ceratina_cyanea</w:t>
            </w:r>
            <w:proofErr w:type="spellEnd"/>
            <w:r w:rsidRPr="00BB0098">
              <w:rPr>
                <w:rFonts w:ascii="Calibri" w:eastAsia="Times New Roman" w:hAnsi="Calibri" w:cs="Calibri"/>
                <w:i/>
                <w:iCs/>
                <w:color w:val="000000"/>
              </w:rPr>
              <w:t xml:space="preserve"> (LC)</w:t>
            </w:r>
          </w:p>
        </w:tc>
      </w:tr>
      <w:tr w:rsidR="00623C69" w:rsidRPr="00BB0098" w14:paraId="2F7080D8"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43A62"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Chelostoma</w:t>
            </w:r>
            <w:proofErr w:type="spellEnd"/>
            <w:r w:rsidRPr="00BB0098">
              <w:rPr>
                <w:rFonts w:ascii="Calibri" w:eastAsia="Times New Roman" w:hAnsi="Calibri" w:cs="Calibri"/>
                <w:b/>
                <w:bCs/>
                <w:i/>
                <w:iCs/>
                <w:color w:val="000000"/>
              </w:rPr>
              <w:t xml:space="preserve"> sp.</w:t>
            </w:r>
          </w:p>
        </w:tc>
      </w:tr>
      <w:tr w:rsidR="00623C69" w:rsidRPr="00BB0098" w14:paraId="142054D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A0B9DA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Chelostoma_florisomne</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7AAB2E6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Chelostoma_campanularum</w:t>
            </w:r>
            <w:proofErr w:type="spellEnd"/>
            <w:r w:rsidRPr="00BB0098">
              <w:rPr>
                <w:rFonts w:ascii="Calibri" w:eastAsia="Times New Roman" w:hAnsi="Calibri" w:cs="Calibri"/>
                <w:i/>
                <w:iCs/>
                <w:color w:val="000000"/>
              </w:rPr>
              <w:t xml:space="preserve"> (LC)</w:t>
            </w:r>
          </w:p>
        </w:tc>
      </w:tr>
      <w:tr w:rsidR="00623C69" w:rsidRPr="00BB0098" w14:paraId="5A52F956"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7630509"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6CC4F0B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Chelostoma_distinctum</w:t>
            </w:r>
            <w:proofErr w:type="spellEnd"/>
            <w:r w:rsidRPr="00BB0098">
              <w:rPr>
                <w:rFonts w:ascii="Calibri" w:eastAsia="Times New Roman" w:hAnsi="Calibri" w:cs="Calibri"/>
                <w:i/>
                <w:iCs/>
                <w:color w:val="000000"/>
              </w:rPr>
              <w:t xml:space="preserve"> (LC)</w:t>
            </w:r>
          </w:p>
        </w:tc>
      </w:tr>
      <w:tr w:rsidR="00623C69" w:rsidRPr="00BB0098" w14:paraId="1CE072E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C345140"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3E1DEB8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Chelostoma_rapunculi</w:t>
            </w:r>
            <w:proofErr w:type="spellEnd"/>
            <w:r w:rsidRPr="00BB0098">
              <w:rPr>
                <w:rFonts w:ascii="Calibri" w:eastAsia="Times New Roman" w:hAnsi="Calibri" w:cs="Calibri"/>
                <w:i/>
                <w:iCs/>
                <w:color w:val="000000"/>
              </w:rPr>
              <w:t xml:space="preserve"> (LC)</w:t>
            </w:r>
          </w:p>
        </w:tc>
      </w:tr>
      <w:tr w:rsidR="00623C69" w:rsidRPr="00BB0098" w14:paraId="51959E58"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3F25C"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Dasypoda</w:t>
            </w:r>
            <w:proofErr w:type="spellEnd"/>
            <w:r w:rsidRPr="00BB0098">
              <w:rPr>
                <w:rFonts w:ascii="Calibri" w:eastAsia="Times New Roman" w:hAnsi="Calibri" w:cs="Calibri"/>
                <w:b/>
                <w:bCs/>
                <w:i/>
                <w:iCs/>
                <w:color w:val="000000"/>
              </w:rPr>
              <w:t xml:space="preserve"> sp.</w:t>
            </w:r>
          </w:p>
        </w:tc>
      </w:tr>
      <w:tr w:rsidR="00623C69" w:rsidRPr="00BB0098" w14:paraId="46A5C437"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3E87786"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Dasypoda_hirtipes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383E3C8D"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r>
      <w:tr w:rsidR="00623C69" w:rsidRPr="00BB0098" w14:paraId="2870F098"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54766"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Colletes</w:t>
            </w:r>
            <w:proofErr w:type="spellEnd"/>
            <w:r w:rsidRPr="00BB0098">
              <w:rPr>
                <w:rFonts w:ascii="Calibri" w:eastAsia="Times New Roman" w:hAnsi="Calibri" w:cs="Calibri"/>
                <w:b/>
                <w:bCs/>
                <w:i/>
                <w:iCs/>
                <w:color w:val="000000"/>
              </w:rPr>
              <w:t xml:space="preserve"> sp.</w:t>
            </w:r>
          </w:p>
        </w:tc>
      </w:tr>
      <w:tr w:rsidR="00623C69" w:rsidRPr="00BB0098" w14:paraId="20B71060"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FCAB736"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6EE34AB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Colletes_cunicularius</w:t>
            </w:r>
            <w:proofErr w:type="spellEnd"/>
            <w:r w:rsidRPr="00BB0098">
              <w:rPr>
                <w:rFonts w:ascii="Calibri" w:eastAsia="Times New Roman" w:hAnsi="Calibri" w:cs="Calibri"/>
                <w:i/>
                <w:iCs/>
                <w:color w:val="000000"/>
              </w:rPr>
              <w:t xml:space="preserve"> (LC)</w:t>
            </w:r>
          </w:p>
        </w:tc>
      </w:tr>
      <w:tr w:rsidR="00623C69" w:rsidRPr="00BB0098" w14:paraId="41A3C6A4"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BF2F1"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Eucera</w:t>
            </w:r>
            <w:proofErr w:type="spellEnd"/>
            <w:r w:rsidRPr="00BB0098">
              <w:rPr>
                <w:rFonts w:ascii="Calibri" w:eastAsia="Times New Roman" w:hAnsi="Calibri" w:cs="Calibri"/>
                <w:b/>
                <w:bCs/>
                <w:i/>
                <w:iCs/>
                <w:color w:val="000000"/>
              </w:rPr>
              <w:t xml:space="preserve"> sp.</w:t>
            </w:r>
          </w:p>
        </w:tc>
      </w:tr>
      <w:tr w:rsidR="00623C69" w:rsidRPr="00BB0098" w14:paraId="0276EA2B"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308592B"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3251AD6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Eucera_longicornis</w:t>
            </w:r>
            <w:proofErr w:type="spellEnd"/>
            <w:r w:rsidRPr="00BB0098">
              <w:rPr>
                <w:rFonts w:ascii="Calibri" w:eastAsia="Times New Roman" w:hAnsi="Calibri" w:cs="Calibri"/>
                <w:i/>
                <w:iCs/>
                <w:color w:val="000000"/>
              </w:rPr>
              <w:t xml:space="preserve"> (LC)</w:t>
            </w:r>
          </w:p>
        </w:tc>
      </w:tr>
      <w:tr w:rsidR="00623C69" w:rsidRPr="00BB0098" w14:paraId="1AF5C0FD"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2369C"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Halictus</w:t>
            </w:r>
            <w:proofErr w:type="spellEnd"/>
            <w:r w:rsidRPr="00BB0098">
              <w:rPr>
                <w:rFonts w:ascii="Calibri" w:eastAsia="Times New Roman" w:hAnsi="Calibri" w:cs="Calibri"/>
                <w:b/>
                <w:bCs/>
                <w:i/>
                <w:iCs/>
                <w:color w:val="000000"/>
              </w:rPr>
              <w:t xml:space="preserve"> sp.</w:t>
            </w:r>
          </w:p>
        </w:tc>
      </w:tr>
      <w:tr w:rsidR="00623C69" w:rsidRPr="00BB0098" w14:paraId="38F06AE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0F96ADF"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Halictus_scabiosae</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5B85D95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Halictus_eurygnathus</w:t>
            </w:r>
            <w:proofErr w:type="spellEnd"/>
            <w:r w:rsidRPr="00BB0098">
              <w:rPr>
                <w:rFonts w:ascii="Calibri" w:eastAsia="Times New Roman" w:hAnsi="Calibri" w:cs="Calibri"/>
                <w:i/>
                <w:iCs/>
                <w:color w:val="000000"/>
              </w:rPr>
              <w:t xml:space="preserve"> (LC)</w:t>
            </w:r>
          </w:p>
        </w:tc>
      </w:tr>
      <w:tr w:rsidR="00623C69" w:rsidRPr="00BB0098" w14:paraId="48FD28E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A42CB07"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Halictus_tumulorum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6F73CFF0"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Halictus_maculatus (LC)</w:t>
            </w:r>
          </w:p>
        </w:tc>
      </w:tr>
      <w:tr w:rsidR="00623C69" w:rsidRPr="00BB0098" w14:paraId="58F9556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31692AA"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0405437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Halictus_rubicundus</w:t>
            </w:r>
            <w:proofErr w:type="spellEnd"/>
            <w:r w:rsidRPr="00BB0098">
              <w:rPr>
                <w:rFonts w:ascii="Calibri" w:eastAsia="Times New Roman" w:hAnsi="Calibri" w:cs="Calibri"/>
                <w:i/>
                <w:iCs/>
                <w:color w:val="000000"/>
              </w:rPr>
              <w:t xml:space="preserve"> (LC)</w:t>
            </w:r>
          </w:p>
        </w:tc>
      </w:tr>
      <w:tr w:rsidR="00623C69" w:rsidRPr="00BB0098" w14:paraId="5FB8ABE7"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04DA329"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6D7940D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Halictus_simplex</w:t>
            </w:r>
            <w:proofErr w:type="spellEnd"/>
            <w:r w:rsidRPr="00BB0098">
              <w:rPr>
                <w:rFonts w:ascii="Calibri" w:eastAsia="Times New Roman" w:hAnsi="Calibri" w:cs="Calibri"/>
                <w:i/>
                <w:iCs/>
                <w:color w:val="000000"/>
              </w:rPr>
              <w:t xml:space="preserve"> (LC)</w:t>
            </w:r>
          </w:p>
        </w:tc>
      </w:tr>
      <w:tr w:rsidR="00623C69" w:rsidRPr="00BB0098" w14:paraId="40F70DE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AA7A13F"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1BE1D00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Halictus_subauratus</w:t>
            </w:r>
            <w:proofErr w:type="spellEnd"/>
            <w:r w:rsidRPr="00BB0098">
              <w:rPr>
                <w:rFonts w:ascii="Calibri" w:eastAsia="Times New Roman" w:hAnsi="Calibri" w:cs="Calibri"/>
                <w:i/>
                <w:iCs/>
                <w:color w:val="000000"/>
              </w:rPr>
              <w:t xml:space="preserve"> (LC)</w:t>
            </w:r>
          </w:p>
        </w:tc>
      </w:tr>
      <w:tr w:rsidR="00623C69" w:rsidRPr="00BB0098" w14:paraId="0A0438BE"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C99C6"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Hoplitis</w:t>
            </w:r>
            <w:proofErr w:type="spellEnd"/>
            <w:r w:rsidRPr="00BB0098">
              <w:rPr>
                <w:rFonts w:ascii="Calibri" w:eastAsia="Times New Roman" w:hAnsi="Calibri" w:cs="Calibri"/>
                <w:b/>
                <w:bCs/>
                <w:i/>
                <w:iCs/>
                <w:color w:val="000000"/>
              </w:rPr>
              <w:t xml:space="preserve"> sp.</w:t>
            </w:r>
          </w:p>
        </w:tc>
      </w:tr>
      <w:tr w:rsidR="00623C69" w:rsidRPr="00BB0098" w14:paraId="30C7FA8E"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019582"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5AD176D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Hoplitis_leucomelana</w:t>
            </w:r>
            <w:proofErr w:type="spellEnd"/>
            <w:r w:rsidRPr="00BB0098">
              <w:rPr>
                <w:rFonts w:ascii="Calibri" w:eastAsia="Times New Roman" w:hAnsi="Calibri" w:cs="Calibri"/>
                <w:i/>
                <w:iCs/>
                <w:color w:val="000000"/>
              </w:rPr>
              <w:t xml:space="preserve"> (LC)</w:t>
            </w:r>
          </w:p>
        </w:tc>
      </w:tr>
      <w:tr w:rsidR="00623C69" w:rsidRPr="00BB0098" w14:paraId="7D7FF3F5"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3F022"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Hylaeus</w:t>
            </w:r>
            <w:proofErr w:type="spellEnd"/>
            <w:r w:rsidRPr="00BB0098">
              <w:rPr>
                <w:rFonts w:ascii="Calibri" w:eastAsia="Times New Roman" w:hAnsi="Calibri" w:cs="Calibri"/>
                <w:b/>
                <w:bCs/>
                <w:i/>
                <w:iCs/>
                <w:color w:val="000000"/>
              </w:rPr>
              <w:t xml:space="preserve"> sp. </w:t>
            </w:r>
          </w:p>
        </w:tc>
      </w:tr>
      <w:tr w:rsidR="00623C69" w:rsidRPr="00BB0098" w14:paraId="6F4C59BF"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0BEF345"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288772D0"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Hylaeus_confusus (LC)</w:t>
            </w:r>
          </w:p>
        </w:tc>
      </w:tr>
      <w:tr w:rsidR="00623C69" w:rsidRPr="00BB0098" w14:paraId="267535E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1BD977"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4A72856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Hylaeus_gibbus</w:t>
            </w:r>
            <w:proofErr w:type="spellEnd"/>
            <w:r w:rsidRPr="00BB0098">
              <w:rPr>
                <w:rFonts w:ascii="Calibri" w:eastAsia="Times New Roman" w:hAnsi="Calibri" w:cs="Calibri"/>
                <w:i/>
                <w:iCs/>
                <w:color w:val="000000"/>
              </w:rPr>
              <w:t xml:space="preserve"> (NA)</w:t>
            </w:r>
          </w:p>
        </w:tc>
      </w:tr>
      <w:tr w:rsidR="00623C69" w:rsidRPr="00BB0098" w14:paraId="2D848430"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9A0FB09"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2FCB839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Hylaeus_hyalinatus</w:t>
            </w:r>
            <w:proofErr w:type="spellEnd"/>
            <w:r w:rsidRPr="00BB0098">
              <w:rPr>
                <w:rFonts w:ascii="Calibri" w:eastAsia="Times New Roman" w:hAnsi="Calibri" w:cs="Calibri"/>
                <w:i/>
                <w:iCs/>
                <w:color w:val="000000"/>
              </w:rPr>
              <w:t xml:space="preserve"> (LC)</w:t>
            </w:r>
          </w:p>
        </w:tc>
      </w:tr>
      <w:tr w:rsidR="00623C69" w:rsidRPr="00BB0098" w14:paraId="04C959E8"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FCFE5BA"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5ACE49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Hylaeus_variegatus</w:t>
            </w:r>
            <w:proofErr w:type="spellEnd"/>
            <w:r w:rsidRPr="00BB0098">
              <w:rPr>
                <w:rFonts w:ascii="Calibri" w:eastAsia="Times New Roman" w:hAnsi="Calibri" w:cs="Calibri"/>
                <w:i/>
                <w:iCs/>
                <w:color w:val="000000"/>
              </w:rPr>
              <w:t xml:space="preserve"> (LC)</w:t>
            </w:r>
          </w:p>
        </w:tc>
      </w:tr>
      <w:tr w:rsidR="00623C69" w:rsidRPr="00BB0098" w14:paraId="58FA67D5"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ADAD8"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Lasioglossum</w:t>
            </w:r>
            <w:proofErr w:type="spellEnd"/>
            <w:r w:rsidRPr="00BB0098">
              <w:rPr>
                <w:rFonts w:ascii="Calibri" w:eastAsia="Times New Roman" w:hAnsi="Calibri" w:cs="Calibri"/>
                <w:b/>
                <w:bCs/>
                <w:i/>
                <w:iCs/>
                <w:color w:val="000000"/>
              </w:rPr>
              <w:t xml:space="preserve"> sp.</w:t>
            </w:r>
          </w:p>
        </w:tc>
      </w:tr>
      <w:tr w:rsidR="00623C69" w:rsidRPr="00BB0098" w14:paraId="1C65B07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96E4EA4"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Lasioglossum_calceatum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37CBB18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Lasioglossum_albipes</w:t>
            </w:r>
            <w:proofErr w:type="spellEnd"/>
            <w:r w:rsidRPr="00BB0098">
              <w:rPr>
                <w:rFonts w:ascii="Calibri" w:eastAsia="Times New Roman" w:hAnsi="Calibri" w:cs="Calibri"/>
                <w:i/>
                <w:iCs/>
                <w:color w:val="000000"/>
              </w:rPr>
              <w:t xml:space="preserve"> (LC)</w:t>
            </w:r>
          </w:p>
        </w:tc>
      </w:tr>
      <w:tr w:rsidR="00623C69" w:rsidRPr="00BB0098" w14:paraId="2405D4DE"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42F1F05"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Lasioglossum_lativentre</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1EC5C43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Lasioglossum_fulvicorne</w:t>
            </w:r>
            <w:proofErr w:type="spellEnd"/>
            <w:r w:rsidRPr="00BB0098">
              <w:rPr>
                <w:rFonts w:ascii="Calibri" w:eastAsia="Times New Roman" w:hAnsi="Calibri" w:cs="Calibri"/>
                <w:i/>
                <w:iCs/>
                <w:color w:val="000000"/>
              </w:rPr>
              <w:t xml:space="preserve"> (LC)</w:t>
            </w:r>
          </w:p>
        </w:tc>
      </w:tr>
      <w:tr w:rsidR="00623C69" w:rsidRPr="00BB0098" w14:paraId="13D2C99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EC3FC6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Lasioglossum_leucozonium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0FB7A8C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Lasioglossum_glabriusculum</w:t>
            </w:r>
            <w:proofErr w:type="spellEnd"/>
            <w:r w:rsidRPr="00BB0098">
              <w:rPr>
                <w:rFonts w:ascii="Calibri" w:eastAsia="Times New Roman" w:hAnsi="Calibri" w:cs="Calibri"/>
                <w:i/>
                <w:iCs/>
                <w:color w:val="000000"/>
              </w:rPr>
              <w:t xml:space="preserve"> (LC)</w:t>
            </w:r>
          </w:p>
        </w:tc>
      </w:tr>
      <w:tr w:rsidR="00623C69" w:rsidRPr="00BB0098" w14:paraId="154CEA42"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88B690A"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Lasioglossum_malachurum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FCE4D6"/>
            <w:noWrap/>
            <w:vAlign w:val="bottom"/>
            <w:hideMark/>
          </w:tcPr>
          <w:p w14:paraId="3749624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Lasioglossum_laevigatum</w:t>
            </w:r>
            <w:proofErr w:type="spellEnd"/>
            <w:r w:rsidRPr="00BB0098">
              <w:rPr>
                <w:rFonts w:ascii="Calibri" w:eastAsia="Times New Roman" w:hAnsi="Calibri" w:cs="Calibri"/>
                <w:i/>
                <w:iCs/>
                <w:color w:val="000000"/>
              </w:rPr>
              <w:t xml:space="preserve"> (NT)</w:t>
            </w:r>
          </w:p>
        </w:tc>
      </w:tr>
      <w:tr w:rsidR="00623C69" w:rsidRPr="00BB0098" w14:paraId="7C9AEBB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2C3A7F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Lasioglossum_pauxillum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67106FB9"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Lasioglossum_laticeps</w:t>
            </w:r>
            <w:proofErr w:type="spellEnd"/>
            <w:r w:rsidRPr="00BB0098">
              <w:rPr>
                <w:rFonts w:ascii="Calibri" w:eastAsia="Times New Roman" w:hAnsi="Calibri" w:cs="Calibri"/>
                <w:i/>
                <w:iCs/>
                <w:color w:val="000000"/>
              </w:rPr>
              <w:t xml:space="preserve"> (LC)</w:t>
            </w:r>
          </w:p>
        </w:tc>
      </w:tr>
      <w:tr w:rsidR="00623C69" w:rsidRPr="00BB0098" w14:paraId="6F7EA8FC" w14:textId="77777777" w:rsidTr="004D533F">
        <w:trPr>
          <w:trHeight w:val="300"/>
        </w:trPr>
        <w:tc>
          <w:tcPr>
            <w:tcW w:w="3660" w:type="dxa"/>
            <w:tcBorders>
              <w:top w:val="nil"/>
              <w:left w:val="single" w:sz="4" w:space="0" w:color="auto"/>
              <w:bottom w:val="single" w:sz="4" w:space="0" w:color="auto"/>
              <w:right w:val="single" w:sz="4" w:space="0" w:color="auto"/>
            </w:tcBorders>
            <w:shd w:val="clear" w:color="000000" w:fill="FCE4D6"/>
            <w:noWrap/>
            <w:vAlign w:val="bottom"/>
            <w:hideMark/>
          </w:tcPr>
          <w:p w14:paraId="5E52A233"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lastRenderedPageBreak/>
              <w:t>Lasioglossum_sexnotatum (NT)</w:t>
            </w:r>
          </w:p>
        </w:tc>
        <w:tc>
          <w:tcPr>
            <w:tcW w:w="3706" w:type="dxa"/>
            <w:tcBorders>
              <w:top w:val="nil"/>
              <w:left w:val="nil"/>
              <w:bottom w:val="single" w:sz="4" w:space="0" w:color="auto"/>
              <w:right w:val="single" w:sz="4" w:space="0" w:color="auto"/>
            </w:tcBorders>
            <w:shd w:val="clear" w:color="auto" w:fill="auto"/>
            <w:noWrap/>
            <w:vAlign w:val="bottom"/>
            <w:hideMark/>
          </w:tcPr>
          <w:p w14:paraId="2325782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Lasioglossum_leucopus</w:t>
            </w:r>
            <w:proofErr w:type="spellEnd"/>
            <w:r w:rsidRPr="00BB0098">
              <w:rPr>
                <w:rFonts w:ascii="Calibri" w:eastAsia="Times New Roman" w:hAnsi="Calibri" w:cs="Calibri"/>
                <w:i/>
                <w:iCs/>
                <w:color w:val="000000"/>
              </w:rPr>
              <w:t xml:space="preserve"> (LC)</w:t>
            </w:r>
          </w:p>
        </w:tc>
      </w:tr>
      <w:tr w:rsidR="00623C69" w:rsidRPr="00BB0098" w14:paraId="5D86D9C3"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925B651"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Lasioglossum_villosulum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000000" w:fill="FCE4D6"/>
            <w:noWrap/>
            <w:vAlign w:val="bottom"/>
            <w:hideMark/>
          </w:tcPr>
          <w:p w14:paraId="66D03B7B"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Lasioglossum_majus</w:t>
            </w:r>
            <w:proofErr w:type="spellEnd"/>
            <w:r w:rsidRPr="00BB0098">
              <w:rPr>
                <w:rFonts w:ascii="Calibri" w:eastAsia="Times New Roman" w:hAnsi="Calibri" w:cs="Calibri"/>
                <w:i/>
                <w:iCs/>
                <w:color w:val="000000"/>
              </w:rPr>
              <w:t xml:space="preserve"> (NT)</w:t>
            </w:r>
          </w:p>
        </w:tc>
      </w:tr>
      <w:tr w:rsidR="00623C69" w:rsidRPr="00BB0098" w14:paraId="57DCADE1"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95D0641"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Lasioglossum_zonulum</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20C59B1F"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Lasioglossum_minutissimum</w:t>
            </w:r>
            <w:proofErr w:type="spellEnd"/>
            <w:r w:rsidRPr="00BB0098">
              <w:rPr>
                <w:rFonts w:ascii="Calibri" w:eastAsia="Times New Roman" w:hAnsi="Calibri" w:cs="Calibri"/>
                <w:i/>
                <w:iCs/>
                <w:color w:val="000000"/>
              </w:rPr>
              <w:t xml:space="preserve"> (LC)</w:t>
            </w:r>
          </w:p>
        </w:tc>
      </w:tr>
      <w:tr w:rsidR="00623C69" w:rsidRPr="00BB0098" w14:paraId="1BC0DAEC"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80784BA"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637BB44D"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Lasioglossum_morio</w:t>
            </w:r>
            <w:proofErr w:type="spellEnd"/>
            <w:r w:rsidRPr="00BB0098">
              <w:rPr>
                <w:rFonts w:ascii="Calibri" w:eastAsia="Times New Roman" w:hAnsi="Calibri" w:cs="Calibri"/>
                <w:i/>
                <w:iCs/>
                <w:color w:val="000000"/>
              </w:rPr>
              <w:t xml:space="preserve"> (LC)</w:t>
            </w:r>
          </w:p>
        </w:tc>
      </w:tr>
      <w:tr w:rsidR="00623C69" w:rsidRPr="00BB0098" w14:paraId="367F865E"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09B4741"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009794E"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Lasioglossum_parvulum</w:t>
            </w:r>
            <w:proofErr w:type="spellEnd"/>
            <w:r w:rsidRPr="00BB0098">
              <w:rPr>
                <w:rFonts w:ascii="Calibri" w:eastAsia="Times New Roman" w:hAnsi="Calibri" w:cs="Calibri"/>
                <w:i/>
                <w:iCs/>
                <w:color w:val="000000"/>
              </w:rPr>
              <w:t xml:space="preserve"> (LC)</w:t>
            </w:r>
          </w:p>
        </w:tc>
      </w:tr>
      <w:tr w:rsidR="00623C69" w:rsidRPr="00BB0098" w14:paraId="1B015CD6"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552A6AE"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5ED13594"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Lasioglossum_punctatissimum</w:t>
            </w:r>
            <w:proofErr w:type="spellEnd"/>
            <w:r w:rsidRPr="00BB0098">
              <w:rPr>
                <w:rFonts w:ascii="Calibri" w:eastAsia="Times New Roman" w:hAnsi="Calibri" w:cs="Calibri"/>
                <w:i/>
                <w:iCs/>
                <w:color w:val="000000"/>
              </w:rPr>
              <w:t xml:space="preserve"> (LC)</w:t>
            </w:r>
          </w:p>
        </w:tc>
      </w:tr>
      <w:tr w:rsidR="00623C69" w:rsidRPr="00BB0098" w14:paraId="742A555F"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E535111"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D59AC0C"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Lasioglossum_puncticolle (LC)</w:t>
            </w:r>
          </w:p>
        </w:tc>
      </w:tr>
      <w:tr w:rsidR="00623C69" w:rsidRPr="00BB0098" w14:paraId="42EA6CB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71A1806"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FCE4D6"/>
            <w:noWrap/>
            <w:vAlign w:val="bottom"/>
            <w:hideMark/>
          </w:tcPr>
          <w:p w14:paraId="5F18510E"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Lasioglossum_setulosum (NT)</w:t>
            </w:r>
          </w:p>
        </w:tc>
      </w:tr>
      <w:tr w:rsidR="00623C69" w:rsidRPr="00BB0098" w14:paraId="2002D5E8"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65A62A8"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FCE4D6"/>
            <w:noWrap/>
            <w:vAlign w:val="bottom"/>
            <w:hideMark/>
          </w:tcPr>
          <w:p w14:paraId="4487924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Lasioglossum_xanthopus</w:t>
            </w:r>
            <w:proofErr w:type="spellEnd"/>
            <w:r w:rsidRPr="00BB0098">
              <w:rPr>
                <w:rFonts w:ascii="Calibri" w:eastAsia="Times New Roman" w:hAnsi="Calibri" w:cs="Calibri"/>
                <w:i/>
                <w:iCs/>
                <w:color w:val="000000"/>
              </w:rPr>
              <w:t xml:space="preserve"> (NT)</w:t>
            </w:r>
          </w:p>
        </w:tc>
      </w:tr>
      <w:tr w:rsidR="00623C69" w:rsidRPr="00BB0098" w14:paraId="2B2D806B"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4D649" w14:textId="77777777" w:rsidR="00623C69" w:rsidRPr="00BB0098" w:rsidRDefault="00623C69" w:rsidP="004D533F">
            <w:pPr>
              <w:spacing w:after="0" w:line="240" w:lineRule="auto"/>
              <w:jc w:val="center"/>
              <w:rPr>
                <w:rFonts w:ascii="Calibri" w:eastAsia="Times New Roman" w:hAnsi="Calibri" w:cs="Calibri"/>
                <w:b/>
                <w:bCs/>
                <w:i/>
                <w:iCs/>
                <w:color w:val="000000"/>
              </w:rPr>
            </w:pPr>
            <w:r w:rsidRPr="00BB0098">
              <w:rPr>
                <w:rFonts w:ascii="Calibri" w:eastAsia="Times New Roman" w:hAnsi="Calibri" w:cs="Calibri"/>
                <w:b/>
                <w:bCs/>
                <w:i/>
                <w:iCs/>
                <w:color w:val="000000"/>
              </w:rPr>
              <w:t>Megachile sp.</w:t>
            </w:r>
          </w:p>
        </w:tc>
      </w:tr>
      <w:tr w:rsidR="00623C69" w:rsidRPr="00BB0098" w14:paraId="16D38FE8"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BA450CE"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39BCB0B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Megachile_circumcincta</w:t>
            </w:r>
            <w:proofErr w:type="spellEnd"/>
            <w:r w:rsidRPr="00BB0098">
              <w:rPr>
                <w:rFonts w:ascii="Calibri" w:eastAsia="Times New Roman" w:hAnsi="Calibri" w:cs="Calibri"/>
                <w:i/>
                <w:iCs/>
                <w:color w:val="000000"/>
              </w:rPr>
              <w:t xml:space="preserve"> (LC)</w:t>
            </w:r>
          </w:p>
        </w:tc>
      </w:tr>
      <w:tr w:rsidR="00623C69" w:rsidRPr="00BB0098" w14:paraId="134488DC"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D4478B1"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000000" w:fill="EDEDED"/>
            <w:noWrap/>
            <w:vAlign w:val="bottom"/>
            <w:hideMark/>
          </w:tcPr>
          <w:p w14:paraId="56D70E18"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Megachile_versicolor</w:t>
            </w:r>
            <w:proofErr w:type="spellEnd"/>
            <w:r w:rsidRPr="00BB0098">
              <w:rPr>
                <w:rFonts w:ascii="Calibri" w:eastAsia="Times New Roman" w:hAnsi="Calibri" w:cs="Calibri"/>
                <w:i/>
                <w:iCs/>
                <w:color w:val="000000"/>
              </w:rPr>
              <w:t xml:space="preserve"> (DD)</w:t>
            </w:r>
          </w:p>
        </w:tc>
      </w:tr>
      <w:tr w:rsidR="00623C69" w:rsidRPr="00BB0098" w14:paraId="1041DF35"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743271B"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763FFFB6"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Megachile_willughbiella</w:t>
            </w:r>
            <w:proofErr w:type="spellEnd"/>
            <w:r w:rsidRPr="00BB0098">
              <w:rPr>
                <w:rFonts w:ascii="Calibri" w:eastAsia="Times New Roman" w:hAnsi="Calibri" w:cs="Calibri"/>
                <w:i/>
                <w:iCs/>
                <w:color w:val="000000"/>
              </w:rPr>
              <w:t xml:space="preserve"> (LC)</w:t>
            </w:r>
          </w:p>
        </w:tc>
      </w:tr>
      <w:tr w:rsidR="00623C69" w:rsidRPr="00BB0098" w14:paraId="49E27104"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CB1EB" w14:textId="77777777" w:rsidR="00623C69" w:rsidRPr="00BB0098" w:rsidRDefault="00623C69" w:rsidP="004D533F">
            <w:pPr>
              <w:spacing w:after="0" w:line="240" w:lineRule="auto"/>
              <w:jc w:val="center"/>
              <w:rPr>
                <w:rFonts w:ascii="Calibri" w:eastAsia="Times New Roman" w:hAnsi="Calibri" w:cs="Calibri"/>
                <w:b/>
                <w:bCs/>
                <w:i/>
                <w:iCs/>
                <w:color w:val="000000"/>
              </w:rPr>
            </w:pPr>
            <w:r w:rsidRPr="00BB0098">
              <w:rPr>
                <w:rFonts w:ascii="Calibri" w:eastAsia="Times New Roman" w:hAnsi="Calibri" w:cs="Calibri"/>
                <w:b/>
                <w:bCs/>
                <w:i/>
                <w:iCs/>
                <w:color w:val="000000"/>
              </w:rPr>
              <w:t>Osmia sp.</w:t>
            </w:r>
          </w:p>
        </w:tc>
      </w:tr>
      <w:tr w:rsidR="00623C69" w:rsidRPr="00BB0098" w14:paraId="0B87E58D"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F168ED5"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Osmia_bicornis</w:t>
            </w:r>
            <w:proofErr w:type="spellEnd"/>
            <w:r w:rsidRPr="00BB0098">
              <w:rPr>
                <w:rFonts w:ascii="Calibri" w:eastAsia="Times New Roman" w:hAnsi="Calibri" w:cs="Calibri"/>
                <w:i/>
                <w:iCs/>
                <w:color w:val="000000"/>
              </w:rPr>
              <w:t xml:space="preserve"> (LC)</w:t>
            </w:r>
          </w:p>
        </w:tc>
        <w:tc>
          <w:tcPr>
            <w:tcW w:w="3706" w:type="dxa"/>
            <w:tcBorders>
              <w:top w:val="nil"/>
              <w:left w:val="nil"/>
              <w:bottom w:val="single" w:sz="4" w:space="0" w:color="auto"/>
              <w:right w:val="single" w:sz="4" w:space="0" w:color="auto"/>
            </w:tcBorders>
            <w:shd w:val="clear" w:color="auto" w:fill="auto"/>
            <w:noWrap/>
            <w:vAlign w:val="bottom"/>
            <w:hideMark/>
          </w:tcPr>
          <w:p w14:paraId="6F7235D3"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Osmia_bicolor</w:t>
            </w:r>
            <w:proofErr w:type="spellEnd"/>
            <w:r w:rsidRPr="00BB0098">
              <w:rPr>
                <w:rFonts w:ascii="Calibri" w:eastAsia="Times New Roman" w:hAnsi="Calibri" w:cs="Calibri"/>
                <w:i/>
                <w:iCs/>
                <w:color w:val="000000"/>
              </w:rPr>
              <w:t xml:space="preserve"> (LC)</w:t>
            </w:r>
          </w:p>
        </w:tc>
      </w:tr>
      <w:tr w:rsidR="00623C69" w:rsidRPr="00BB0098" w14:paraId="6526EC54"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77E1C79"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3C174E62"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Osmia_niveata</w:t>
            </w:r>
            <w:proofErr w:type="spellEnd"/>
            <w:r w:rsidRPr="00BB0098">
              <w:rPr>
                <w:rFonts w:ascii="Calibri" w:eastAsia="Times New Roman" w:hAnsi="Calibri" w:cs="Calibri"/>
                <w:i/>
                <w:iCs/>
                <w:color w:val="000000"/>
              </w:rPr>
              <w:t xml:space="preserve"> (LC)</w:t>
            </w:r>
          </w:p>
        </w:tc>
      </w:tr>
      <w:tr w:rsidR="00623C69" w:rsidRPr="00BB0098" w14:paraId="75EE8ECA"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52D7B"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Panurgus</w:t>
            </w:r>
            <w:proofErr w:type="spellEnd"/>
            <w:r w:rsidRPr="00BB0098">
              <w:rPr>
                <w:rFonts w:ascii="Calibri" w:eastAsia="Times New Roman" w:hAnsi="Calibri" w:cs="Calibri"/>
                <w:b/>
                <w:bCs/>
                <w:i/>
                <w:iCs/>
                <w:color w:val="000000"/>
              </w:rPr>
              <w:t xml:space="preserve"> sp.</w:t>
            </w:r>
          </w:p>
        </w:tc>
      </w:tr>
      <w:tr w:rsidR="00623C69" w:rsidRPr="00BB0098" w14:paraId="42F2C087"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BE8C3AE"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0BA7E46C"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Panurgus_calcaratus</w:t>
            </w:r>
            <w:proofErr w:type="spellEnd"/>
            <w:r w:rsidRPr="00BB0098">
              <w:rPr>
                <w:rFonts w:ascii="Calibri" w:eastAsia="Times New Roman" w:hAnsi="Calibri" w:cs="Calibri"/>
                <w:i/>
                <w:iCs/>
                <w:color w:val="000000"/>
              </w:rPr>
              <w:t xml:space="preserve"> (LC)</w:t>
            </w:r>
          </w:p>
        </w:tc>
      </w:tr>
      <w:tr w:rsidR="00623C69" w:rsidRPr="00BB0098" w14:paraId="651C8F72" w14:textId="77777777" w:rsidTr="004D533F">
        <w:trPr>
          <w:trHeight w:val="300"/>
        </w:trPr>
        <w:tc>
          <w:tcPr>
            <w:tcW w:w="73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0C4D8" w14:textId="77777777" w:rsidR="00623C69" w:rsidRPr="00BB0098" w:rsidRDefault="00623C69" w:rsidP="004D533F">
            <w:pPr>
              <w:spacing w:after="0" w:line="240" w:lineRule="auto"/>
              <w:jc w:val="center"/>
              <w:rPr>
                <w:rFonts w:ascii="Calibri" w:eastAsia="Times New Roman" w:hAnsi="Calibri" w:cs="Calibri"/>
                <w:b/>
                <w:bCs/>
                <w:i/>
                <w:iCs/>
                <w:color w:val="000000"/>
              </w:rPr>
            </w:pPr>
            <w:proofErr w:type="spellStart"/>
            <w:r w:rsidRPr="00BB0098">
              <w:rPr>
                <w:rFonts w:ascii="Calibri" w:eastAsia="Times New Roman" w:hAnsi="Calibri" w:cs="Calibri"/>
                <w:b/>
                <w:bCs/>
                <w:i/>
                <w:iCs/>
                <w:color w:val="000000"/>
              </w:rPr>
              <w:t>Trachusa</w:t>
            </w:r>
            <w:proofErr w:type="spellEnd"/>
            <w:r w:rsidRPr="00BB0098">
              <w:rPr>
                <w:rFonts w:ascii="Calibri" w:eastAsia="Times New Roman" w:hAnsi="Calibri" w:cs="Calibri"/>
                <w:b/>
                <w:bCs/>
                <w:i/>
                <w:iCs/>
                <w:color w:val="000000"/>
              </w:rPr>
              <w:t xml:space="preserve"> sp.</w:t>
            </w:r>
          </w:p>
        </w:tc>
      </w:tr>
      <w:tr w:rsidR="00623C69" w:rsidRPr="00BB0098" w14:paraId="0845003F" w14:textId="77777777" w:rsidTr="004D533F">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3B807B8" w14:textId="77777777" w:rsidR="00623C69" w:rsidRPr="00BB0098" w:rsidRDefault="00623C69" w:rsidP="004D533F">
            <w:pPr>
              <w:spacing w:after="0" w:line="240" w:lineRule="auto"/>
              <w:rPr>
                <w:rFonts w:ascii="Calibri" w:eastAsia="Times New Roman" w:hAnsi="Calibri" w:cs="Calibri"/>
                <w:i/>
                <w:iCs/>
                <w:color w:val="000000"/>
              </w:rPr>
            </w:pPr>
            <w:r w:rsidRPr="00BB0098">
              <w:rPr>
                <w:rFonts w:ascii="Calibri" w:eastAsia="Times New Roman" w:hAnsi="Calibri" w:cs="Calibri"/>
                <w:i/>
                <w:iCs/>
                <w:color w:val="000000"/>
              </w:rPr>
              <w:t> </w:t>
            </w:r>
          </w:p>
        </w:tc>
        <w:tc>
          <w:tcPr>
            <w:tcW w:w="3706" w:type="dxa"/>
            <w:tcBorders>
              <w:top w:val="nil"/>
              <w:left w:val="nil"/>
              <w:bottom w:val="single" w:sz="4" w:space="0" w:color="auto"/>
              <w:right w:val="single" w:sz="4" w:space="0" w:color="auto"/>
            </w:tcBorders>
            <w:shd w:val="clear" w:color="auto" w:fill="auto"/>
            <w:noWrap/>
            <w:vAlign w:val="bottom"/>
            <w:hideMark/>
          </w:tcPr>
          <w:p w14:paraId="160CE8A0" w14:textId="77777777" w:rsidR="00623C69" w:rsidRPr="00BB0098" w:rsidRDefault="00623C69" w:rsidP="004D533F">
            <w:pPr>
              <w:spacing w:after="0" w:line="240" w:lineRule="auto"/>
              <w:rPr>
                <w:rFonts w:ascii="Calibri" w:eastAsia="Times New Roman" w:hAnsi="Calibri" w:cs="Calibri"/>
                <w:i/>
                <w:iCs/>
                <w:color w:val="000000"/>
              </w:rPr>
            </w:pPr>
            <w:proofErr w:type="spellStart"/>
            <w:r w:rsidRPr="00BB0098">
              <w:rPr>
                <w:rFonts w:ascii="Calibri" w:eastAsia="Times New Roman" w:hAnsi="Calibri" w:cs="Calibri"/>
                <w:i/>
                <w:iCs/>
                <w:color w:val="000000"/>
              </w:rPr>
              <w:t>Trachusa_byssina</w:t>
            </w:r>
            <w:proofErr w:type="spellEnd"/>
            <w:r w:rsidRPr="00BB0098">
              <w:rPr>
                <w:rFonts w:ascii="Calibri" w:eastAsia="Times New Roman" w:hAnsi="Calibri" w:cs="Calibri"/>
                <w:i/>
                <w:iCs/>
                <w:color w:val="000000"/>
              </w:rPr>
              <w:t xml:space="preserve"> (LC)</w:t>
            </w:r>
          </w:p>
        </w:tc>
      </w:tr>
    </w:tbl>
    <w:p w14:paraId="172CD826" w14:textId="654F4DE6" w:rsidR="00F730F0" w:rsidRDefault="00F730F0">
      <w:pPr>
        <w:rPr>
          <w:rFonts w:cstheme="minorHAnsi"/>
          <w:sz w:val="24"/>
          <w:szCs w:val="24"/>
        </w:rPr>
      </w:pPr>
    </w:p>
    <w:p w14:paraId="3130D1FF" w14:textId="6914C41E" w:rsidR="00E142F8" w:rsidRPr="00CF4C2B" w:rsidRDefault="000529D2" w:rsidP="00ED56E0">
      <w:pPr>
        <w:pStyle w:val="Heading3"/>
        <w:jc w:val="both"/>
        <w:rPr>
          <w:color w:val="auto"/>
        </w:rPr>
      </w:pPr>
      <w:r w:rsidRPr="00CF4C2B">
        <w:rPr>
          <w:color w:val="auto"/>
        </w:rPr>
        <w:t>Table S</w:t>
      </w:r>
      <w:r w:rsidR="00623C69" w:rsidRPr="00CF4C2B">
        <w:rPr>
          <w:color w:val="auto"/>
        </w:rPr>
        <w:t>3</w:t>
      </w:r>
      <w:r w:rsidRPr="00CF4C2B">
        <w:rPr>
          <w:color w:val="auto"/>
        </w:rPr>
        <w:t xml:space="preserve">: </w:t>
      </w:r>
      <w:r w:rsidR="00E142F8" w:rsidRPr="00CF4C2B">
        <w:rPr>
          <w:color w:val="auto"/>
        </w:rPr>
        <w:t xml:space="preserve">Linear mixed effects model between pollen diversity from individual bee species (response variable) and environmental variables (explanatory). Only tested for species sufficiently abundant in numerous plots. Significance codes: *** 0,001; ** 0,01; * 0,05; ns &gt;0.05. </w:t>
      </w:r>
    </w:p>
    <w:p w14:paraId="0F45A6F1" w14:textId="77777777" w:rsidR="00E142F8" w:rsidRPr="00CB38CA" w:rsidRDefault="00E142F8" w:rsidP="00E142F8">
      <w:pPr>
        <w:pStyle w:val="Tableheading"/>
      </w:pPr>
    </w:p>
    <w:tbl>
      <w:tblPr>
        <w:tblW w:w="9880" w:type="dxa"/>
        <w:tblLook w:val="04A0" w:firstRow="1" w:lastRow="0" w:firstColumn="1" w:lastColumn="0" w:noHBand="0" w:noVBand="1"/>
      </w:tblPr>
      <w:tblGrid>
        <w:gridCol w:w="3160"/>
        <w:gridCol w:w="1240"/>
        <w:gridCol w:w="1240"/>
        <w:gridCol w:w="1240"/>
        <w:gridCol w:w="1240"/>
        <w:gridCol w:w="1760"/>
      </w:tblGrid>
      <w:tr w:rsidR="00E142F8" w:rsidRPr="00E142F8" w14:paraId="67FED776"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3F851E13"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r w:rsidRPr="00E142F8">
              <w:rPr>
                <w:rFonts w:ascii="Calibri" w:eastAsia="Times New Roman" w:hAnsi="Calibri" w:cs="Calibri"/>
                <w:b/>
                <w:bCs/>
                <w:i/>
                <w:iCs/>
                <w:color w:val="000000"/>
                <w:sz w:val="24"/>
                <w:szCs w:val="24"/>
              </w:rPr>
              <w:t>Apis mellifera</w:t>
            </w:r>
          </w:p>
        </w:tc>
        <w:tc>
          <w:tcPr>
            <w:tcW w:w="1240" w:type="dxa"/>
            <w:tcBorders>
              <w:top w:val="nil"/>
              <w:left w:val="nil"/>
              <w:bottom w:val="single" w:sz="4" w:space="0" w:color="auto"/>
              <w:right w:val="nil"/>
            </w:tcBorders>
            <w:shd w:val="clear" w:color="auto" w:fill="auto"/>
            <w:vAlign w:val="center"/>
            <w:hideMark/>
          </w:tcPr>
          <w:p w14:paraId="70DF870E"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4A4D2137"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0C002203"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7C257732"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445ABC83"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157C08FA" w14:textId="77777777" w:rsidTr="00E142F8">
        <w:trPr>
          <w:trHeight w:val="315"/>
        </w:trPr>
        <w:tc>
          <w:tcPr>
            <w:tcW w:w="3160" w:type="dxa"/>
            <w:tcBorders>
              <w:top w:val="nil"/>
              <w:left w:val="nil"/>
              <w:bottom w:val="nil"/>
              <w:right w:val="nil"/>
            </w:tcBorders>
            <w:shd w:val="clear" w:color="000000" w:fill="FFFFFF"/>
            <w:noWrap/>
            <w:vAlign w:val="center"/>
            <w:hideMark/>
          </w:tcPr>
          <w:p w14:paraId="369CBCF5"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noWrap/>
            <w:vAlign w:val="center"/>
            <w:hideMark/>
          </w:tcPr>
          <w:p w14:paraId="3609DCD8" w14:textId="2B1AE757"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007</w:t>
            </w:r>
          </w:p>
        </w:tc>
        <w:tc>
          <w:tcPr>
            <w:tcW w:w="1240" w:type="dxa"/>
            <w:tcBorders>
              <w:top w:val="nil"/>
              <w:left w:val="nil"/>
              <w:bottom w:val="nil"/>
              <w:right w:val="nil"/>
            </w:tcBorders>
            <w:shd w:val="clear" w:color="auto" w:fill="auto"/>
            <w:noWrap/>
            <w:vAlign w:val="center"/>
            <w:hideMark/>
          </w:tcPr>
          <w:p w14:paraId="336A1C24" w14:textId="5441725E"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193</w:t>
            </w:r>
          </w:p>
        </w:tc>
        <w:tc>
          <w:tcPr>
            <w:tcW w:w="1240" w:type="dxa"/>
            <w:tcBorders>
              <w:top w:val="nil"/>
              <w:left w:val="nil"/>
              <w:bottom w:val="nil"/>
              <w:right w:val="nil"/>
            </w:tcBorders>
            <w:shd w:val="clear" w:color="auto" w:fill="auto"/>
            <w:noWrap/>
            <w:vAlign w:val="center"/>
            <w:hideMark/>
          </w:tcPr>
          <w:p w14:paraId="08C66A79" w14:textId="7B6C404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038</w:t>
            </w:r>
          </w:p>
        </w:tc>
        <w:tc>
          <w:tcPr>
            <w:tcW w:w="1240" w:type="dxa"/>
            <w:tcBorders>
              <w:top w:val="nil"/>
              <w:left w:val="nil"/>
              <w:bottom w:val="nil"/>
              <w:right w:val="nil"/>
            </w:tcBorders>
            <w:shd w:val="clear" w:color="auto" w:fill="auto"/>
            <w:noWrap/>
            <w:vAlign w:val="center"/>
            <w:hideMark/>
          </w:tcPr>
          <w:p w14:paraId="3EEF4BD2" w14:textId="10941F2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970</w:t>
            </w:r>
          </w:p>
        </w:tc>
        <w:tc>
          <w:tcPr>
            <w:tcW w:w="1760" w:type="dxa"/>
            <w:tcBorders>
              <w:top w:val="nil"/>
              <w:left w:val="nil"/>
              <w:bottom w:val="nil"/>
              <w:right w:val="nil"/>
            </w:tcBorders>
            <w:shd w:val="clear" w:color="auto" w:fill="auto"/>
            <w:noWrap/>
            <w:vAlign w:val="center"/>
            <w:hideMark/>
          </w:tcPr>
          <w:p w14:paraId="7D3C830A"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50FFA0A5" w14:textId="77777777" w:rsidTr="00E142F8">
        <w:trPr>
          <w:trHeight w:val="315"/>
        </w:trPr>
        <w:tc>
          <w:tcPr>
            <w:tcW w:w="3160" w:type="dxa"/>
            <w:tcBorders>
              <w:top w:val="nil"/>
              <w:left w:val="nil"/>
              <w:bottom w:val="nil"/>
              <w:right w:val="nil"/>
            </w:tcBorders>
            <w:shd w:val="clear" w:color="000000" w:fill="FFFFFF"/>
            <w:noWrap/>
            <w:vAlign w:val="center"/>
            <w:hideMark/>
          </w:tcPr>
          <w:p w14:paraId="5271197D"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noWrap/>
            <w:vAlign w:val="center"/>
            <w:hideMark/>
          </w:tcPr>
          <w:p w14:paraId="57EBB2DD" w14:textId="4A1F7F5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396</w:t>
            </w:r>
          </w:p>
        </w:tc>
        <w:tc>
          <w:tcPr>
            <w:tcW w:w="1240" w:type="dxa"/>
            <w:tcBorders>
              <w:top w:val="nil"/>
              <w:left w:val="nil"/>
              <w:bottom w:val="nil"/>
              <w:right w:val="nil"/>
            </w:tcBorders>
            <w:shd w:val="clear" w:color="auto" w:fill="auto"/>
            <w:noWrap/>
            <w:vAlign w:val="center"/>
            <w:hideMark/>
          </w:tcPr>
          <w:p w14:paraId="0839BC0E" w14:textId="74D6924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781</w:t>
            </w:r>
          </w:p>
        </w:tc>
        <w:tc>
          <w:tcPr>
            <w:tcW w:w="1240" w:type="dxa"/>
            <w:tcBorders>
              <w:top w:val="nil"/>
              <w:left w:val="nil"/>
              <w:bottom w:val="nil"/>
              <w:right w:val="nil"/>
            </w:tcBorders>
            <w:shd w:val="clear" w:color="auto" w:fill="auto"/>
            <w:noWrap/>
            <w:vAlign w:val="center"/>
            <w:hideMark/>
          </w:tcPr>
          <w:p w14:paraId="29F00A8D" w14:textId="7D96279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507</w:t>
            </w:r>
          </w:p>
        </w:tc>
        <w:tc>
          <w:tcPr>
            <w:tcW w:w="1240" w:type="dxa"/>
            <w:tcBorders>
              <w:top w:val="nil"/>
              <w:left w:val="nil"/>
              <w:bottom w:val="nil"/>
              <w:right w:val="nil"/>
            </w:tcBorders>
            <w:shd w:val="clear" w:color="auto" w:fill="auto"/>
            <w:noWrap/>
            <w:vAlign w:val="center"/>
            <w:hideMark/>
          </w:tcPr>
          <w:p w14:paraId="78D1962A" w14:textId="7BB410F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618</w:t>
            </w:r>
          </w:p>
        </w:tc>
        <w:tc>
          <w:tcPr>
            <w:tcW w:w="1760" w:type="dxa"/>
            <w:tcBorders>
              <w:top w:val="nil"/>
              <w:left w:val="nil"/>
              <w:bottom w:val="nil"/>
              <w:right w:val="nil"/>
            </w:tcBorders>
            <w:shd w:val="clear" w:color="auto" w:fill="auto"/>
            <w:noWrap/>
            <w:vAlign w:val="center"/>
            <w:hideMark/>
          </w:tcPr>
          <w:p w14:paraId="1B7ACC63"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772F1AD5" w14:textId="77777777" w:rsidTr="00E142F8">
        <w:trPr>
          <w:trHeight w:val="315"/>
        </w:trPr>
        <w:tc>
          <w:tcPr>
            <w:tcW w:w="3160" w:type="dxa"/>
            <w:tcBorders>
              <w:top w:val="nil"/>
              <w:left w:val="nil"/>
              <w:bottom w:val="nil"/>
              <w:right w:val="nil"/>
            </w:tcBorders>
            <w:shd w:val="clear" w:color="000000" w:fill="FFFFFF"/>
            <w:noWrap/>
            <w:vAlign w:val="center"/>
            <w:hideMark/>
          </w:tcPr>
          <w:p w14:paraId="79C2B9FF"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noWrap/>
            <w:vAlign w:val="center"/>
            <w:hideMark/>
          </w:tcPr>
          <w:p w14:paraId="3E666698" w14:textId="1691DCB7"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572</w:t>
            </w:r>
          </w:p>
        </w:tc>
        <w:tc>
          <w:tcPr>
            <w:tcW w:w="1240" w:type="dxa"/>
            <w:tcBorders>
              <w:top w:val="nil"/>
              <w:left w:val="nil"/>
              <w:bottom w:val="nil"/>
              <w:right w:val="nil"/>
            </w:tcBorders>
            <w:shd w:val="clear" w:color="auto" w:fill="auto"/>
            <w:noWrap/>
            <w:vAlign w:val="center"/>
            <w:hideMark/>
          </w:tcPr>
          <w:p w14:paraId="797AB1E7" w14:textId="7B30921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897</w:t>
            </w:r>
          </w:p>
        </w:tc>
        <w:tc>
          <w:tcPr>
            <w:tcW w:w="1240" w:type="dxa"/>
            <w:tcBorders>
              <w:top w:val="nil"/>
              <w:left w:val="nil"/>
              <w:bottom w:val="nil"/>
              <w:right w:val="nil"/>
            </w:tcBorders>
            <w:shd w:val="clear" w:color="auto" w:fill="auto"/>
            <w:noWrap/>
            <w:vAlign w:val="center"/>
            <w:hideMark/>
          </w:tcPr>
          <w:p w14:paraId="7307DF34" w14:textId="4D40113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638</w:t>
            </w:r>
          </w:p>
        </w:tc>
        <w:tc>
          <w:tcPr>
            <w:tcW w:w="1240" w:type="dxa"/>
            <w:tcBorders>
              <w:top w:val="nil"/>
              <w:left w:val="nil"/>
              <w:bottom w:val="nil"/>
              <w:right w:val="nil"/>
            </w:tcBorders>
            <w:shd w:val="clear" w:color="auto" w:fill="auto"/>
            <w:noWrap/>
            <w:vAlign w:val="center"/>
            <w:hideMark/>
          </w:tcPr>
          <w:p w14:paraId="100ACA80" w14:textId="15C6524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531</w:t>
            </w:r>
          </w:p>
        </w:tc>
        <w:tc>
          <w:tcPr>
            <w:tcW w:w="1760" w:type="dxa"/>
            <w:tcBorders>
              <w:top w:val="nil"/>
              <w:left w:val="nil"/>
              <w:bottom w:val="nil"/>
              <w:right w:val="nil"/>
            </w:tcBorders>
            <w:shd w:val="clear" w:color="auto" w:fill="auto"/>
            <w:noWrap/>
            <w:vAlign w:val="center"/>
            <w:hideMark/>
          </w:tcPr>
          <w:p w14:paraId="090746AD"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5A580847" w14:textId="77777777" w:rsidTr="00E142F8">
        <w:trPr>
          <w:trHeight w:val="300"/>
        </w:trPr>
        <w:tc>
          <w:tcPr>
            <w:tcW w:w="3160" w:type="dxa"/>
            <w:tcBorders>
              <w:top w:val="nil"/>
              <w:left w:val="nil"/>
              <w:bottom w:val="nil"/>
              <w:right w:val="nil"/>
            </w:tcBorders>
            <w:shd w:val="clear" w:color="auto" w:fill="auto"/>
            <w:vAlign w:val="center"/>
            <w:hideMark/>
          </w:tcPr>
          <w:p w14:paraId="6525623A" w14:textId="77777777" w:rsidR="00E142F8" w:rsidRPr="00E142F8" w:rsidRDefault="00E142F8" w:rsidP="00E142F8">
            <w:pPr>
              <w:spacing w:after="0" w:line="240" w:lineRule="auto"/>
              <w:rPr>
                <w:rFonts w:ascii="Calibri" w:eastAsia="Times New Roman" w:hAnsi="Calibri" w:cs="Calibri"/>
                <w:color w:val="000000"/>
                <w:sz w:val="24"/>
                <w:szCs w:val="24"/>
              </w:rPr>
            </w:pPr>
          </w:p>
        </w:tc>
        <w:tc>
          <w:tcPr>
            <w:tcW w:w="1240" w:type="dxa"/>
            <w:tcBorders>
              <w:top w:val="nil"/>
              <w:left w:val="nil"/>
              <w:bottom w:val="nil"/>
              <w:right w:val="nil"/>
            </w:tcBorders>
            <w:shd w:val="clear" w:color="auto" w:fill="auto"/>
            <w:vAlign w:val="center"/>
            <w:hideMark/>
          </w:tcPr>
          <w:p w14:paraId="663626DB"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467D8CF4"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59954DF9"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4FDD216C"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71580F83"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701C67A3"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7E427703"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proofErr w:type="spellStart"/>
            <w:r w:rsidRPr="00E142F8">
              <w:rPr>
                <w:rFonts w:ascii="Calibri" w:eastAsia="Times New Roman" w:hAnsi="Calibri" w:cs="Calibri"/>
                <w:b/>
                <w:bCs/>
                <w:i/>
                <w:iCs/>
                <w:color w:val="000000"/>
                <w:sz w:val="24"/>
                <w:szCs w:val="24"/>
              </w:rPr>
              <w:t>Bombus</w:t>
            </w:r>
            <w:proofErr w:type="spellEnd"/>
            <w:r w:rsidRPr="00E142F8">
              <w:rPr>
                <w:rFonts w:ascii="Calibri" w:eastAsia="Times New Roman" w:hAnsi="Calibri" w:cs="Calibri"/>
                <w:b/>
                <w:bCs/>
                <w:i/>
                <w:iCs/>
                <w:color w:val="000000"/>
                <w:sz w:val="24"/>
                <w:szCs w:val="24"/>
              </w:rPr>
              <w:t xml:space="preserve"> </w:t>
            </w:r>
            <w:proofErr w:type="spellStart"/>
            <w:r w:rsidRPr="00E142F8">
              <w:rPr>
                <w:rFonts w:ascii="Calibri" w:eastAsia="Times New Roman" w:hAnsi="Calibri" w:cs="Calibri"/>
                <w:b/>
                <w:bCs/>
                <w:i/>
                <w:iCs/>
                <w:color w:val="000000"/>
                <w:sz w:val="24"/>
                <w:szCs w:val="24"/>
              </w:rPr>
              <w:t>lapidarius</w:t>
            </w:r>
            <w:proofErr w:type="spellEnd"/>
          </w:p>
        </w:tc>
        <w:tc>
          <w:tcPr>
            <w:tcW w:w="1240" w:type="dxa"/>
            <w:tcBorders>
              <w:top w:val="nil"/>
              <w:left w:val="nil"/>
              <w:bottom w:val="single" w:sz="4" w:space="0" w:color="auto"/>
              <w:right w:val="nil"/>
            </w:tcBorders>
            <w:shd w:val="clear" w:color="auto" w:fill="auto"/>
            <w:vAlign w:val="center"/>
            <w:hideMark/>
          </w:tcPr>
          <w:p w14:paraId="56DCAB85"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6AACE9DA"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0694368D"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7EFD7757"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5CD846AE"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29391342" w14:textId="77777777" w:rsidTr="00E142F8">
        <w:trPr>
          <w:trHeight w:val="315"/>
        </w:trPr>
        <w:tc>
          <w:tcPr>
            <w:tcW w:w="3160" w:type="dxa"/>
            <w:tcBorders>
              <w:top w:val="nil"/>
              <w:left w:val="nil"/>
              <w:bottom w:val="nil"/>
              <w:right w:val="nil"/>
            </w:tcBorders>
            <w:shd w:val="clear" w:color="000000" w:fill="FFFFFF"/>
            <w:noWrap/>
            <w:vAlign w:val="center"/>
            <w:hideMark/>
          </w:tcPr>
          <w:p w14:paraId="0CC0BDAC"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vAlign w:val="center"/>
            <w:hideMark/>
          </w:tcPr>
          <w:p w14:paraId="593920DC" w14:textId="3333ABF0"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421</w:t>
            </w:r>
          </w:p>
        </w:tc>
        <w:tc>
          <w:tcPr>
            <w:tcW w:w="1240" w:type="dxa"/>
            <w:tcBorders>
              <w:top w:val="nil"/>
              <w:left w:val="nil"/>
              <w:bottom w:val="nil"/>
              <w:right w:val="nil"/>
            </w:tcBorders>
            <w:shd w:val="clear" w:color="auto" w:fill="auto"/>
            <w:vAlign w:val="center"/>
            <w:hideMark/>
          </w:tcPr>
          <w:p w14:paraId="7FAE8CA8" w14:textId="282753A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110</w:t>
            </w:r>
          </w:p>
        </w:tc>
        <w:tc>
          <w:tcPr>
            <w:tcW w:w="1240" w:type="dxa"/>
            <w:tcBorders>
              <w:top w:val="nil"/>
              <w:left w:val="nil"/>
              <w:bottom w:val="nil"/>
              <w:right w:val="nil"/>
            </w:tcBorders>
            <w:shd w:val="clear" w:color="auto" w:fill="auto"/>
            <w:vAlign w:val="center"/>
            <w:hideMark/>
          </w:tcPr>
          <w:p w14:paraId="66570915" w14:textId="0AAA3B3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14</w:t>
            </w:r>
            <w:r w:rsidR="00304546">
              <w:rPr>
                <w:rFonts w:ascii="Calibri" w:eastAsia="Times New Roman" w:hAnsi="Calibri" w:cs="Calibri"/>
                <w:color w:val="000000"/>
              </w:rPr>
              <w:t>.</w:t>
            </w:r>
            <w:r w:rsidRPr="00E142F8">
              <w:rPr>
                <w:rFonts w:ascii="Calibri" w:eastAsia="Times New Roman" w:hAnsi="Calibri" w:cs="Calibri"/>
                <w:color w:val="000000"/>
              </w:rPr>
              <w:t>296</w:t>
            </w:r>
          </w:p>
        </w:tc>
        <w:tc>
          <w:tcPr>
            <w:tcW w:w="1240" w:type="dxa"/>
            <w:tcBorders>
              <w:top w:val="nil"/>
              <w:left w:val="nil"/>
              <w:bottom w:val="nil"/>
              <w:right w:val="nil"/>
            </w:tcBorders>
            <w:shd w:val="clear" w:color="auto" w:fill="auto"/>
            <w:vAlign w:val="center"/>
            <w:hideMark/>
          </w:tcPr>
          <w:p w14:paraId="340454CE" w14:textId="2E05556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001</w:t>
            </w:r>
          </w:p>
        </w:tc>
        <w:tc>
          <w:tcPr>
            <w:tcW w:w="1760" w:type="dxa"/>
            <w:tcBorders>
              <w:top w:val="nil"/>
              <w:left w:val="nil"/>
              <w:bottom w:val="nil"/>
              <w:right w:val="nil"/>
            </w:tcBorders>
            <w:shd w:val="clear" w:color="auto" w:fill="auto"/>
            <w:vAlign w:val="center"/>
            <w:hideMark/>
          </w:tcPr>
          <w:p w14:paraId="25362513" w14:textId="77777777"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w:t>
            </w:r>
          </w:p>
        </w:tc>
      </w:tr>
      <w:tr w:rsidR="00E142F8" w:rsidRPr="00E142F8" w14:paraId="292F22E9" w14:textId="77777777" w:rsidTr="00E142F8">
        <w:trPr>
          <w:trHeight w:val="315"/>
        </w:trPr>
        <w:tc>
          <w:tcPr>
            <w:tcW w:w="3160" w:type="dxa"/>
            <w:tcBorders>
              <w:top w:val="nil"/>
              <w:left w:val="nil"/>
              <w:bottom w:val="nil"/>
              <w:right w:val="nil"/>
            </w:tcBorders>
            <w:shd w:val="clear" w:color="000000" w:fill="FFFFFF"/>
            <w:noWrap/>
            <w:vAlign w:val="center"/>
            <w:hideMark/>
          </w:tcPr>
          <w:p w14:paraId="0DA49E26"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7F53E31B" w14:textId="3626A83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313</w:t>
            </w:r>
          </w:p>
        </w:tc>
        <w:tc>
          <w:tcPr>
            <w:tcW w:w="1240" w:type="dxa"/>
            <w:tcBorders>
              <w:top w:val="nil"/>
              <w:left w:val="nil"/>
              <w:bottom w:val="nil"/>
              <w:right w:val="nil"/>
            </w:tcBorders>
            <w:shd w:val="clear" w:color="auto" w:fill="auto"/>
            <w:vAlign w:val="center"/>
            <w:hideMark/>
          </w:tcPr>
          <w:p w14:paraId="503C71B4" w14:textId="72102420"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431</w:t>
            </w:r>
          </w:p>
        </w:tc>
        <w:tc>
          <w:tcPr>
            <w:tcW w:w="1240" w:type="dxa"/>
            <w:tcBorders>
              <w:top w:val="nil"/>
              <w:left w:val="nil"/>
              <w:bottom w:val="nil"/>
              <w:right w:val="nil"/>
            </w:tcBorders>
            <w:shd w:val="clear" w:color="auto" w:fill="auto"/>
            <w:vAlign w:val="center"/>
            <w:hideMark/>
          </w:tcPr>
          <w:p w14:paraId="39E2D9A3" w14:textId="6684C21C"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507</w:t>
            </w:r>
          </w:p>
        </w:tc>
        <w:tc>
          <w:tcPr>
            <w:tcW w:w="1240" w:type="dxa"/>
            <w:tcBorders>
              <w:top w:val="nil"/>
              <w:left w:val="nil"/>
              <w:bottom w:val="nil"/>
              <w:right w:val="nil"/>
            </w:tcBorders>
            <w:shd w:val="clear" w:color="auto" w:fill="auto"/>
            <w:vAlign w:val="center"/>
            <w:hideMark/>
          </w:tcPr>
          <w:p w14:paraId="4EC4147C" w14:textId="3B70C53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485</w:t>
            </w:r>
          </w:p>
        </w:tc>
        <w:tc>
          <w:tcPr>
            <w:tcW w:w="1760" w:type="dxa"/>
            <w:tcBorders>
              <w:top w:val="nil"/>
              <w:left w:val="nil"/>
              <w:bottom w:val="nil"/>
              <w:right w:val="nil"/>
            </w:tcBorders>
            <w:shd w:val="clear" w:color="auto" w:fill="auto"/>
            <w:noWrap/>
            <w:vAlign w:val="center"/>
            <w:hideMark/>
          </w:tcPr>
          <w:p w14:paraId="5352C3D2"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4BEAABA5" w14:textId="77777777" w:rsidTr="00E142F8">
        <w:trPr>
          <w:trHeight w:val="315"/>
        </w:trPr>
        <w:tc>
          <w:tcPr>
            <w:tcW w:w="3160" w:type="dxa"/>
            <w:tcBorders>
              <w:top w:val="nil"/>
              <w:left w:val="nil"/>
              <w:bottom w:val="nil"/>
              <w:right w:val="nil"/>
            </w:tcBorders>
            <w:shd w:val="clear" w:color="000000" w:fill="FFFFFF"/>
            <w:noWrap/>
            <w:vAlign w:val="center"/>
            <w:hideMark/>
          </w:tcPr>
          <w:p w14:paraId="105B1366"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1103DFDD" w14:textId="1EBC790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109</w:t>
            </w:r>
          </w:p>
        </w:tc>
        <w:tc>
          <w:tcPr>
            <w:tcW w:w="1240" w:type="dxa"/>
            <w:tcBorders>
              <w:top w:val="nil"/>
              <w:left w:val="nil"/>
              <w:bottom w:val="nil"/>
              <w:right w:val="nil"/>
            </w:tcBorders>
            <w:shd w:val="clear" w:color="auto" w:fill="auto"/>
            <w:vAlign w:val="center"/>
            <w:hideMark/>
          </w:tcPr>
          <w:p w14:paraId="5CAFD06A" w14:textId="153338D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557</w:t>
            </w:r>
          </w:p>
        </w:tc>
        <w:tc>
          <w:tcPr>
            <w:tcW w:w="1240" w:type="dxa"/>
            <w:tcBorders>
              <w:top w:val="nil"/>
              <w:left w:val="nil"/>
              <w:bottom w:val="nil"/>
              <w:right w:val="nil"/>
            </w:tcBorders>
            <w:shd w:val="clear" w:color="auto" w:fill="auto"/>
            <w:vAlign w:val="center"/>
            <w:hideMark/>
          </w:tcPr>
          <w:p w14:paraId="5FDB5603" w14:textId="7646DD9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038</w:t>
            </w:r>
          </w:p>
        </w:tc>
        <w:tc>
          <w:tcPr>
            <w:tcW w:w="1240" w:type="dxa"/>
            <w:tcBorders>
              <w:top w:val="nil"/>
              <w:left w:val="nil"/>
              <w:bottom w:val="nil"/>
              <w:right w:val="nil"/>
            </w:tcBorders>
            <w:shd w:val="clear" w:color="auto" w:fill="auto"/>
            <w:vAlign w:val="center"/>
            <w:hideMark/>
          </w:tcPr>
          <w:p w14:paraId="7C7F9351" w14:textId="44C6B38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848</w:t>
            </w:r>
          </w:p>
        </w:tc>
        <w:tc>
          <w:tcPr>
            <w:tcW w:w="1760" w:type="dxa"/>
            <w:tcBorders>
              <w:top w:val="nil"/>
              <w:left w:val="nil"/>
              <w:bottom w:val="nil"/>
              <w:right w:val="nil"/>
            </w:tcBorders>
            <w:shd w:val="clear" w:color="auto" w:fill="auto"/>
            <w:noWrap/>
            <w:vAlign w:val="center"/>
            <w:hideMark/>
          </w:tcPr>
          <w:p w14:paraId="45438FA6"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21E549FB" w14:textId="77777777" w:rsidTr="00E142F8">
        <w:trPr>
          <w:trHeight w:val="300"/>
        </w:trPr>
        <w:tc>
          <w:tcPr>
            <w:tcW w:w="3160" w:type="dxa"/>
            <w:tcBorders>
              <w:top w:val="nil"/>
              <w:left w:val="nil"/>
              <w:bottom w:val="nil"/>
              <w:right w:val="nil"/>
            </w:tcBorders>
            <w:shd w:val="clear" w:color="auto" w:fill="auto"/>
            <w:vAlign w:val="center"/>
            <w:hideMark/>
          </w:tcPr>
          <w:p w14:paraId="04C7B8B4" w14:textId="77777777" w:rsidR="00E142F8" w:rsidRPr="00E142F8" w:rsidRDefault="00E142F8" w:rsidP="00E142F8">
            <w:pPr>
              <w:spacing w:after="0" w:line="240" w:lineRule="auto"/>
              <w:rPr>
                <w:rFonts w:ascii="Calibri" w:eastAsia="Times New Roman" w:hAnsi="Calibri" w:cs="Calibri"/>
                <w:color w:val="000000"/>
                <w:sz w:val="24"/>
                <w:szCs w:val="24"/>
              </w:rPr>
            </w:pPr>
          </w:p>
        </w:tc>
        <w:tc>
          <w:tcPr>
            <w:tcW w:w="1240" w:type="dxa"/>
            <w:tcBorders>
              <w:top w:val="nil"/>
              <w:left w:val="nil"/>
              <w:bottom w:val="nil"/>
              <w:right w:val="nil"/>
            </w:tcBorders>
            <w:shd w:val="clear" w:color="auto" w:fill="auto"/>
            <w:vAlign w:val="center"/>
            <w:hideMark/>
          </w:tcPr>
          <w:p w14:paraId="7D058A1C"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58904144"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3124B987"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68EE3221"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1505FDC6"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512EE7D7"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7453ECBC"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proofErr w:type="spellStart"/>
            <w:r w:rsidRPr="00E142F8">
              <w:rPr>
                <w:rFonts w:ascii="Calibri" w:eastAsia="Times New Roman" w:hAnsi="Calibri" w:cs="Calibri"/>
                <w:b/>
                <w:bCs/>
                <w:i/>
                <w:iCs/>
                <w:color w:val="000000"/>
                <w:sz w:val="24"/>
                <w:szCs w:val="24"/>
              </w:rPr>
              <w:t>Bombus</w:t>
            </w:r>
            <w:proofErr w:type="spellEnd"/>
            <w:r w:rsidRPr="00E142F8">
              <w:rPr>
                <w:rFonts w:ascii="Calibri" w:eastAsia="Times New Roman" w:hAnsi="Calibri" w:cs="Calibri"/>
                <w:b/>
                <w:bCs/>
                <w:i/>
                <w:iCs/>
                <w:color w:val="000000"/>
                <w:sz w:val="24"/>
                <w:szCs w:val="24"/>
              </w:rPr>
              <w:t xml:space="preserve"> </w:t>
            </w:r>
            <w:proofErr w:type="spellStart"/>
            <w:r w:rsidRPr="00E142F8">
              <w:rPr>
                <w:rFonts w:ascii="Calibri" w:eastAsia="Times New Roman" w:hAnsi="Calibri" w:cs="Calibri"/>
                <w:b/>
                <w:bCs/>
                <w:i/>
                <w:iCs/>
                <w:color w:val="000000"/>
                <w:sz w:val="24"/>
                <w:szCs w:val="24"/>
              </w:rPr>
              <w:t>pascuorum</w:t>
            </w:r>
            <w:proofErr w:type="spellEnd"/>
          </w:p>
        </w:tc>
        <w:tc>
          <w:tcPr>
            <w:tcW w:w="1240" w:type="dxa"/>
            <w:tcBorders>
              <w:top w:val="nil"/>
              <w:left w:val="nil"/>
              <w:bottom w:val="single" w:sz="4" w:space="0" w:color="auto"/>
              <w:right w:val="nil"/>
            </w:tcBorders>
            <w:shd w:val="clear" w:color="auto" w:fill="auto"/>
            <w:vAlign w:val="center"/>
            <w:hideMark/>
          </w:tcPr>
          <w:p w14:paraId="52ADDE3C"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73337A09"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18DDAE19"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0B6CAE41"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6365BDCA"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6BE73EA1" w14:textId="77777777" w:rsidTr="00E142F8">
        <w:trPr>
          <w:trHeight w:val="315"/>
        </w:trPr>
        <w:tc>
          <w:tcPr>
            <w:tcW w:w="3160" w:type="dxa"/>
            <w:tcBorders>
              <w:top w:val="nil"/>
              <w:left w:val="nil"/>
              <w:bottom w:val="nil"/>
              <w:right w:val="nil"/>
            </w:tcBorders>
            <w:shd w:val="clear" w:color="000000" w:fill="FFFFFF"/>
            <w:noWrap/>
            <w:vAlign w:val="center"/>
            <w:hideMark/>
          </w:tcPr>
          <w:p w14:paraId="0F810DCE"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lastRenderedPageBreak/>
              <w:t>Plant Diversity</w:t>
            </w:r>
          </w:p>
        </w:tc>
        <w:tc>
          <w:tcPr>
            <w:tcW w:w="1240" w:type="dxa"/>
            <w:tcBorders>
              <w:top w:val="nil"/>
              <w:left w:val="nil"/>
              <w:bottom w:val="nil"/>
              <w:right w:val="nil"/>
            </w:tcBorders>
            <w:shd w:val="clear" w:color="auto" w:fill="auto"/>
            <w:vAlign w:val="center"/>
            <w:hideMark/>
          </w:tcPr>
          <w:p w14:paraId="64FB647C" w14:textId="4E77745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043</w:t>
            </w:r>
          </w:p>
        </w:tc>
        <w:tc>
          <w:tcPr>
            <w:tcW w:w="1240" w:type="dxa"/>
            <w:tcBorders>
              <w:top w:val="nil"/>
              <w:left w:val="nil"/>
              <w:bottom w:val="nil"/>
              <w:right w:val="nil"/>
            </w:tcBorders>
            <w:shd w:val="clear" w:color="auto" w:fill="auto"/>
            <w:vAlign w:val="center"/>
            <w:hideMark/>
          </w:tcPr>
          <w:p w14:paraId="1B4AE249" w14:textId="37996C4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184</w:t>
            </w:r>
          </w:p>
        </w:tc>
        <w:tc>
          <w:tcPr>
            <w:tcW w:w="1240" w:type="dxa"/>
            <w:tcBorders>
              <w:top w:val="nil"/>
              <w:left w:val="nil"/>
              <w:bottom w:val="nil"/>
              <w:right w:val="nil"/>
            </w:tcBorders>
            <w:shd w:val="clear" w:color="auto" w:fill="auto"/>
            <w:vAlign w:val="center"/>
            <w:hideMark/>
          </w:tcPr>
          <w:p w14:paraId="22D7B9F4" w14:textId="6A402924"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536</w:t>
            </w:r>
          </w:p>
        </w:tc>
        <w:tc>
          <w:tcPr>
            <w:tcW w:w="1240" w:type="dxa"/>
            <w:tcBorders>
              <w:top w:val="nil"/>
              <w:left w:val="nil"/>
              <w:bottom w:val="nil"/>
              <w:right w:val="nil"/>
            </w:tcBorders>
            <w:shd w:val="clear" w:color="auto" w:fill="auto"/>
            <w:vAlign w:val="center"/>
            <w:hideMark/>
          </w:tcPr>
          <w:p w14:paraId="4905784B" w14:textId="0A97FE4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476</w:t>
            </w:r>
          </w:p>
        </w:tc>
        <w:tc>
          <w:tcPr>
            <w:tcW w:w="1760" w:type="dxa"/>
            <w:tcBorders>
              <w:top w:val="nil"/>
              <w:left w:val="nil"/>
              <w:bottom w:val="nil"/>
              <w:right w:val="nil"/>
            </w:tcBorders>
            <w:shd w:val="clear" w:color="auto" w:fill="auto"/>
            <w:noWrap/>
            <w:vAlign w:val="center"/>
            <w:hideMark/>
          </w:tcPr>
          <w:p w14:paraId="71E4A6FD"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029C4250" w14:textId="77777777" w:rsidTr="00E142F8">
        <w:trPr>
          <w:trHeight w:val="315"/>
        </w:trPr>
        <w:tc>
          <w:tcPr>
            <w:tcW w:w="3160" w:type="dxa"/>
            <w:tcBorders>
              <w:top w:val="nil"/>
              <w:left w:val="nil"/>
              <w:bottom w:val="nil"/>
              <w:right w:val="nil"/>
            </w:tcBorders>
            <w:shd w:val="clear" w:color="000000" w:fill="FFFFFF"/>
            <w:noWrap/>
            <w:vAlign w:val="center"/>
            <w:hideMark/>
          </w:tcPr>
          <w:p w14:paraId="215A971C"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2B63C0F3" w14:textId="0A0F4C1E"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107</w:t>
            </w:r>
          </w:p>
        </w:tc>
        <w:tc>
          <w:tcPr>
            <w:tcW w:w="1240" w:type="dxa"/>
            <w:tcBorders>
              <w:top w:val="nil"/>
              <w:left w:val="nil"/>
              <w:bottom w:val="nil"/>
              <w:right w:val="nil"/>
            </w:tcBorders>
            <w:shd w:val="clear" w:color="auto" w:fill="auto"/>
            <w:vAlign w:val="center"/>
            <w:hideMark/>
          </w:tcPr>
          <w:p w14:paraId="2CEDF176" w14:textId="61050024"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648</w:t>
            </w:r>
          </w:p>
        </w:tc>
        <w:tc>
          <w:tcPr>
            <w:tcW w:w="1240" w:type="dxa"/>
            <w:tcBorders>
              <w:top w:val="nil"/>
              <w:left w:val="nil"/>
              <w:bottom w:val="nil"/>
              <w:right w:val="nil"/>
            </w:tcBorders>
            <w:shd w:val="clear" w:color="auto" w:fill="auto"/>
            <w:vAlign w:val="center"/>
            <w:hideMark/>
          </w:tcPr>
          <w:p w14:paraId="3F5504C6" w14:textId="0946F19E"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027</w:t>
            </w:r>
          </w:p>
        </w:tc>
        <w:tc>
          <w:tcPr>
            <w:tcW w:w="1240" w:type="dxa"/>
            <w:tcBorders>
              <w:top w:val="nil"/>
              <w:left w:val="nil"/>
              <w:bottom w:val="nil"/>
              <w:right w:val="nil"/>
            </w:tcBorders>
            <w:shd w:val="clear" w:color="auto" w:fill="auto"/>
            <w:vAlign w:val="center"/>
            <w:hideMark/>
          </w:tcPr>
          <w:p w14:paraId="3BA4EFA7" w14:textId="550EDE8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871</w:t>
            </w:r>
          </w:p>
        </w:tc>
        <w:tc>
          <w:tcPr>
            <w:tcW w:w="1760" w:type="dxa"/>
            <w:tcBorders>
              <w:top w:val="nil"/>
              <w:left w:val="nil"/>
              <w:bottom w:val="nil"/>
              <w:right w:val="nil"/>
            </w:tcBorders>
            <w:shd w:val="clear" w:color="auto" w:fill="auto"/>
            <w:noWrap/>
            <w:vAlign w:val="center"/>
            <w:hideMark/>
          </w:tcPr>
          <w:p w14:paraId="418ABDB3"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3829B3F8" w14:textId="77777777" w:rsidTr="00E142F8">
        <w:trPr>
          <w:trHeight w:val="315"/>
        </w:trPr>
        <w:tc>
          <w:tcPr>
            <w:tcW w:w="3160" w:type="dxa"/>
            <w:tcBorders>
              <w:top w:val="nil"/>
              <w:left w:val="nil"/>
              <w:bottom w:val="nil"/>
              <w:right w:val="nil"/>
            </w:tcBorders>
            <w:shd w:val="clear" w:color="000000" w:fill="FFFFFF"/>
            <w:noWrap/>
            <w:vAlign w:val="center"/>
            <w:hideMark/>
          </w:tcPr>
          <w:p w14:paraId="3FA8B913"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46D0E8B8" w14:textId="216A042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2</w:t>
            </w:r>
            <w:r w:rsidR="00304546">
              <w:rPr>
                <w:rFonts w:ascii="Calibri" w:eastAsia="Times New Roman" w:hAnsi="Calibri" w:cs="Calibri"/>
                <w:color w:val="000000"/>
              </w:rPr>
              <w:t>.</w:t>
            </w:r>
            <w:r w:rsidRPr="00E142F8">
              <w:rPr>
                <w:rFonts w:ascii="Calibri" w:eastAsia="Times New Roman" w:hAnsi="Calibri" w:cs="Calibri"/>
                <w:color w:val="000000"/>
              </w:rPr>
              <w:t>874</w:t>
            </w:r>
          </w:p>
        </w:tc>
        <w:tc>
          <w:tcPr>
            <w:tcW w:w="1240" w:type="dxa"/>
            <w:tcBorders>
              <w:top w:val="nil"/>
              <w:left w:val="nil"/>
              <w:bottom w:val="nil"/>
              <w:right w:val="nil"/>
            </w:tcBorders>
            <w:shd w:val="clear" w:color="auto" w:fill="auto"/>
            <w:vAlign w:val="center"/>
            <w:hideMark/>
          </w:tcPr>
          <w:p w14:paraId="577CAB04" w14:textId="0D05B298"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087</w:t>
            </w:r>
          </w:p>
        </w:tc>
        <w:tc>
          <w:tcPr>
            <w:tcW w:w="1240" w:type="dxa"/>
            <w:tcBorders>
              <w:top w:val="nil"/>
              <w:left w:val="nil"/>
              <w:bottom w:val="nil"/>
              <w:right w:val="nil"/>
            </w:tcBorders>
            <w:shd w:val="clear" w:color="auto" w:fill="auto"/>
            <w:vAlign w:val="center"/>
            <w:hideMark/>
          </w:tcPr>
          <w:p w14:paraId="64B99FED" w14:textId="7885014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6</w:t>
            </w:r>
            <w:r w:rsidR="00304546">
              <w:rPr>
                <w:rFonts w:ascii="Calibri" w:eastAsia="Times New Roman" w:hAnsi="Calibri" w:cs="Calibri"/>
                <w:color w:val="000000"/>
              </w:rPr>
              <w:t>.</w:t>
            </w:r>
            <w:r w:rsidRPr="00E142F8">
              <w:rPr>
                <w:rFonts w:ascii="Calibri" w:eastAsia="Times New Roman" w:hAnsi="Calibri" w:cs="Calibri"/>
                <w:color w:val="000000"/>
              </w:rPr>
              <w:t>990</w:t>
            </w:r>
          </w:p>
        </w:tc>
        <w:tc>
          <w:tcPr>
            <w:tcW w:w="1240" w:type="dxa"/>
            <w:tcBorders>
              <w:top w:val="nil"/>
              <w:left w:val="nil"/>
              <w:bottom w:val="nil"/>
              <w:right w:val="nil"/>
            </w:tcBorders>
            <w:shd w:val="clear" w:color="auto" w:fill="auto"/>
            <w:vAlign w:val="center"/>
            <w:hideMark/>
          </w:tcPr>
          <w:p w14:paraId="40394162" w14:textId="6E0D5DE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018</w:t>
            </w:r>
          </w:p>
        </w:tc>
        <w:tc>
          <w:tcPr>
            <w:tcW w:w="1760" w:type="dxa"/>
            <w:tcBorders>
              <w:top w:val="nil"/>
              <w:left w:val="nil"/>
              <w:bottom w:val="nil"/>
              <w:right w:val="nil"/>
            </w:tcBorders>
            <w:shd w:val="clear" w:color="auto" w:fill="auto"/>
            <w:vAlign w:val="center"/>
            <w:hideMark/>
          </w:tcPr>
          <w:p w14:paraId="6F8E10DC" w14:textId="0370278C" w:rsidR="00E142F8" w:rsidRPr="00E142F8" w:rsidRDefault="00E142F8" w:rsidP="00E142F8">
            <w:pPr>
              <w:spacing w:after="0" w:line="240" w:lineRule="auto"/>
              <w:rPr>
                <w:rFonts w:ascii="Calibri" w:eastAsia="Times New Roman" w:hAnsi="Calibri" w:cs="Calibri"/>
                <w:color w:val="000000"/>
              </w:rPr>
            </w:pPr>
            <w:r>
              <w:rPr>
                <w:rFonts w:ascii="Calibri" w:eastAsia="Times New Roman" w:hAnsi="Calibri" w:cs="Calibri"/>
                <w:color w:val="000000"/>
              </w:rPr>
              <w:t>*</w:t>
            </w:r>
          </w:p>
        </w:tc>
      </w:tr>
      <w:tr w:rsidR="00E142F8" w:rsidRPr="00E142F8" w14:paraId="20D323E6" w14:textId="77777777" w:rsidTr="00E142F8">
        <w:trPr>
          <w:trHeight w:val="300"/>
        </w:trPr>
        <w:tc>
          <w:tcPr>
            <w:tcW w:w="3160" w:type="dxa"/>
            <w:tcBorders>
              <w:top w:val="nil"/>
              <w:left w:val="nil"/>
              <w:bottom w:val="nil"/>
              <w:right w:val="nil"/>
            </w:tcBorders>
            <w:shd w:val="clear" w:color="auto" w:fill="auto"/>
            <w:vAlign w:val="center"/>
            <w:hideMark/>
          </w:tcPr>
          <w:p w14:paraId="32EA083D" w14:textId="77777777" w:rsidR="00E142F8" w:rsidRPr="00E142F8" w:rsidRDefault="00E142F8" w:rsidP="00E142F8">
            <w:pPr>
              <w:spacing w:after="0" w:line="240" w:lineRule="auto"/>
              <w:rPr>
                <w:rFonts w:ascii="Calibri" w:eastAsia="Times New Roman" w:hAnsi="Calibri" w:cs="Calibri"/>
                <w:color w:val="000000"/>
              </w:rPr>
            </w:pPr>
          </w:p>
        </w:tc>
        <w:tc>
          <w:tcPr>
            <w:tcW w:w="1240" w:type="dxa"/>
            <w:tcBorders>
              <w:top w:val="nil"/>
              <w:left w:val="nil"/>
              <w:bottom w:val="nil"/>
              <w:right w:val="nil"/>
            </w:tcBorders>
            <w:shd w:val="clear" w:color="auto" w:fill="auto"/>
            <w:vAlign w:val="center"/>
            <w:hideMark/>
          </w:tcPr>
          <w:p w14:paraId="574AC927"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6B13B176"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6D8BE2F7"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2A8F1B89"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4F202FB5"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002E47F8"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5F14ECAB"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proofErr w:type="spellStart"/>
            <w:r w:rsidRPr="00E142F8">
              <w:rPr>
                <w:rFonts w:ascii="Calibri" w:eastAsia="Times New Roman" w:hAnsi="Calibri" w:cs="Calibri"/>
                <w:b/>
                <w:bCs/>
                <w:i/>
                <w:iCs/>
                <w:color w:val="000000"/>
                <w:sz w:val="24"/>
                <w:szCs w:val="24"/>
              </w:rPr>
              <w:t>Andrena</w:t>
            </w:r>
            <w:proofErr w:type="spellEnd"/>
            <w:r w:rsidRPr="00E142F8">
              <w:rPr>
                <w:rFonts w:ascii="Calibri" w:eastAsia="Times New Roman" w:hAnsi="Calibri" w:cs="Calibri"/>
                <w:b/>
                <w:bCs/>
                <w:i/>
                <w:iCs/>
                <w:color w:val="000000"/>
                <w:sz w:val="24"/>
                <w:szCs w:val="24"/>
              </w:rPr>
              <w:t xml:space="preserve"> </w:t>
            </w:r>
            <w:proofErr w:type="spellStart"/>
            <w:r w:rsidRPr="00E142F8">
              <w:rPr>
                <w:rFonts w:ascii="Calibri" w:eastAsia="Times New Roman" w:hAnsi="Calibri" w:cs="Calibri"/>
                <w:b/>
                <w:bCs/>
                <w:i/>
                <w:iCs/>
                <w:color w:val="000000"/>
                <w:sz w:val="24"/>
                <w:szCs w:val="24"/>
              </w:rPr>
              <w:t>haemorrhoa</w:t>
            </w:r>
            <w:proofErr w:type="spellEnd"/>
          </w:p>
        </w:tc>
        <w:tc>
          <w:tcPr>
            <w:tcW w:w="1240" w:type="dxa"/>
            <w:tcBorders>
              <w:top w:val="nil"/>
              <w:left w:val="nil"/>
              <w:bottom w:val="single" w:sz="4" w:space="0" w:color="auto"/>
              <w:right w:val="nil"/>
            </w:tcBorders>
            <w:shd w:val="clear" w:color="auto" w:fill="auto"/>
            <w:vAlign w:val="center"/>
            <w:hideMark/>
          </w:tcPr>
          <w:p w14:paraId="40C84C37"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5F20A9A1"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0318628E"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598985A0"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0BD83322"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22C59DD8" w14:textId="77777777" w:rsidTr="00E142F8">
        <w:trPr>
          <w:trHeight w:val="315"/>
        </w:trPr>
        <w:tc>
          <w:tcPr>
            <w:tcW w:w="3160" w:type="dxa"/>
            <w:tcBorders>
              <w:top w:val="nil"/>
              <w:left w:val="nil"/>
              <w:bottom w:val="nil"/>
              <w:right w:val="nil"/>
            </w:tcBorders>
            <w:shd w:val="clear" w:color="000000" w:fill="FFFFFF"/>
            <w:noWrap/>
            <w:vAlign w:val="center"/>
            <w:hideMark/>
          </w:tcPr>
          <w:p w14:paraId="0A8B9371"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vAlign w:val="center"/>
            <w:hideMark/>
          </w:tcPr>
          <w:p w14:paraId="27A41F2F" w14:textId="457A8F5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028</w:t>
            </w:r>
          </w:p>
        </w:tc>
        <w:tc>
          <w:tcPr>
            <w:tcW w:w="1240" w:type="dxa"/>
            <w:tcBorders>
              <w:top w:val="nil"/>
              <w:left w:val="nil"/>
              <w:bottom w:val="nil"/>
              <w:right w:val="nil"/>
            </w:tcBorders>
            <w:shd w:val="clear" w:color="auto" w:fill="auto"/>
            <w:vAlign w:val="center"/>
            <w:hideMark/>
          </w:tcPr>
          <w:p w14:paraId="5E4D1AB7" w14:textId="7D311F3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253</w:t>
            </w:r>
          </w:p>
        </w:tc>
        <w:tc>
          <w:tcPr>
            <w:tcW w:w="1240" w:type="dxa"/>
            <w:tcBorders>
              <w:top w:val="nil"/>
              <w:left w:val="nil"/>
              <w:bottom w:val="nil"/>
              <w:right w:val="nil"/>
            </w:tcBorders>
            <w:shd w:val="clear" w:color="auto" w:fill="auto"/>
            <w:vAlign w:val="center"/>
            <w:hideMark/>
          </w:tcPr>
          <w:p w14:paraId="4F06C877" w14:textId="54271E7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002</w:t>
            </w:r>
          </w:p>
        </w:tc>
        <w:tc>
          <w:tcPr>
            <w:tcW w:w="1240" w:type="dxa"/>
            <w:tcBorders>
              <w:top w:val="nil"/>
              <w:left w:val="nil"/>
              <w:bottom w:val="nil"/>
              <w:right w:val="nil"/>
            </w:tcBorders>
            <w:shd w:val="clear" w:color="auto" w:fill="auto"/>
            <w:vAlign w:val="center"/>
            <w:hideMark/>
          </w:tcPr>
          <w:p w14:paraId="524567A1" w14:textId="0A930AC2"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968</w:t>
            </w:r>
          </w:p>
        </w:tc>
        <w:tc>
          <w:tcPr>
            <w:tcW w:w="1760" w:type="dxa"/>
            <w:tcBorders>
              <w:top w:val="nil"/>
              <w:left w:val="nil"/>
              <w:bottom w:val="nil"/>
              <w:right w:val="nil"/>
            </w:tcBorders>
            <w:shd w:val="clear" w:color="auto" w:fill="auto"/>
            <w:noWrap/>
            <w:vAlign w:val="center"/>
            <w:hideMark/>
          </w:tcPr>
          <w:p w14:paraId="4BA562A1"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07B20D89" w14:textId="77777777" w:rsidTr="00E142F8">
        <w:trPr>
          <w:trHeight w:val="315"/>
        </w:trPr>
        <w:tc>
          <w:tcPr>
            <w:tcW w:w="3160" w:type="dxa"/>
            <w:tcBorders>
              <w:top w:val="nil"/>
              <w:left w:val="nil"/>
              <w:bottom w:val="nil"/>
              <w:right w:val="nil"/>
            </w:tcBorders>
            <w:shd w:val="clear" w:color="000000" w:fill="FFFFFF"/>
            <w:noWrap/>
            <w:vAlign w:val="center"/>
            <w:hideMark/>
          </w:tcPr>
          <w:p w14:paraId="12453BC4"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05128EF2" w14:textId="7F51033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419</w:t>
            </w:r>
          </w:p>
        </w:tc>
        <w:tc>
          <w:tcPr>
            <w:tcW w:w="1240" w:type="dxa"/>
            <w:tcBorders>
              <w:top w:val="nil"/>
              <w:left w:val="nil"/>
              <w:bottom w:val="nil"/>
              <w:right w:val="nil"/>
            </w:tcBorders>
            <w:shd w:val="clear" w:color="auto" w:fill="auto"/>
            <w:vAlign w:val="center"/>
            <w:hideMark/>
          </w:tcPr>
          <w:p w14:paraId="34028AFE" w14:textId="25125342"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838</w:t>
            </w:r>
          </w:p>
        </w:tc>
        <w:tc>
          <w:tcPr>
            <w:tcW w:w="1240" w:type="dxa"/>
            <w:tcBorders>
              <w:top w:val="nil"/>
              <w:left w:val="nil"/>
              <w:bottom w:val="nil"/>
              <w:right w:val="nil"/>
            </w:tcBorders>
            <w:shd w:val="clear" w:color="auto" w:fill="auto"/>
            <w:vAlign w:val="center"/>
            <w:hideMark/>
          </w:tcPr>
          <w:p w14:paraId="609B0B23" w14:textId="602A2E7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2</w:t>
            </w:r>
            <w:r w:rsidR="00304546">
              <w:rPr>
                <w:rFonts w:ascii="Calibri" w:eastAsia="Times New Roman" w:hAnsi="Calibri" w:cs="Calibri"/>
                <w:color w:val="000000"/>
              </w:rPr>
              <w:t>.</w:t>
            </w:r>
            <w:r w:rsidRPr="00E142F8">
              <w:rPr>
                <w:rFonts w:ascii="Calibri" w:eastAsia="Times New Roman" w:hAnsi="Calibri" w:cs="Calibri"/>
                <w:color w:val="000000"/>
              </w:rPr>
              <w:t>716</w:t>
            </w:r>
          </w:p>
        </w:tc>
        <w:tc>
          <w:tcPr>
            <w:tcW w:w="1240" w:type="dxa"/>
            <w:tcBorders>
              <w:top w:val="nil"/>
              <w:left w:val="nil"/>
              <w:bottom w:val="nil"/>
              <w:right w:val="nil"/>
            </w:tcBorders>
            <w:shd w:val="clear" w:color="auto" w:fill="auto"/>
            <w:vAlign w:val="center"/>
            <w:hideMark/>
          </w:tcPr>
          <w:p w14:paraId="370727E4" w14:textId="1CC487CC"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128</w:t>
            </w:r>
          </w:p>
        </w:tc>
        <w:tc>
          <w:tcPr>
            <w:tcW w:w="1760" w:type="dxa"/>
            <w:tcBorders>
              <w:top w:val="nil"/>
              <w:left w:val="nil"/>
              <w:bottom w:val="nil"/>
              <w:right w:val="nil"/>
            </w:tcBorders>
            <w:shd w:val="clear" w:color="auto" w:fill="auto"/>
            <w:noWrap/>
            <w:vAlign w:val="center"/>
            <w:hideMark/>
          </w:tcPr>
          <w:p w14:paraId="28921811"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17575BA8" w14:textId="77777777" w:rsidTr="00E142F8">
        <w:trPr>
          <w:trHeight w:val="315"/>
        </w:trPr>
        <w:tc>
          <w:tcPr>
            <w:tcW w:w="3160" w:type="dxa"/>
            <w:tcBorders>
              <w:top w:val="nil"/>
              <w:left w:val="nil"/>
              <w:bottom w:val="nil"/>
              <w:right w:val="nil"/>
            </w:tcBorders>
            <w:shd w:val="clear" w:color="000000" w:fill="FFFFFF"/>
            <w:noWrap/>
            <w:vAlign w:val="center"/>
            <w:hideMark/>
          </w:tcPr>
          <w:p w14:paraId="54BDED93"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15501212" w14:textId="4C63040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508</w:t>
            </w:r>
          </w:p>
        </w:tc>
        <w:tc>
          <w:tcPr>
            <w:tcW w:w="1240" w:type="dxa"/>
            <w:tcBorders>
              <w:top w:val="nil"/>
              <w:left w:val="nil"/>
              <w:bottom w:val="nil"/>
              <w:right w:val="nil"/>
            </w:tcBorders>
            <w:shd w:val="clear" w:color="auto" w:fill="auto"/>
            <w:vAlign w:val="center"/>
            <w:hideMark/>
          </w:tcPr>
          <w:p w14:paraId="3BD20512" w14:textId="3498E22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210</w:t>
            </w:r>
          </w:p>
        </w:tc>
        <w:tc>
          <w:tcPr>
            <w:tcW w:w="1240" w:type="dxa"/>
            <w:tcBorders>
              <w:top w:val="nil"/>
              <w:left w:val="nil"/>
              <w:bottom w:val="nil"/>
              <w:right w:val="nil"/>
            </w:tcBorders>
            <w:shd w:val="clear" w:color="auto" w:fill="auto"/>
            <w:vAlign w:val="center"/>
            <w:hideMark/>
          </w:tcPr>
          <w:p w14:paraId="031956CA" w14:textId="0CFCC69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176</w:t>
            </w:r>
          </w:p>
        </w:tc>
        <w:tc>
          <w:tcPr>
            <w:tcW w:w="1240" w:type="dxa"/>
            <w:tcBorders>
              <w:top w:val="nil"/>
              <w:left w:val="nil"/>
              <w:bottom w:val="nil"/>
              <w:right w:val="nil"/>
            </w:tcBorders>
            <w:shd w:val="clear" w:color="auto" w:fill="auto"/>
            <w:vAlign w:val="center"/>
            <w:hideMark/>
          </w:tcPr>
          <w:p w14:paraId="7E232F4A" w14:textId="35BADF67"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683</w:t>
            </w:r>
          </w:p>
        </w:tc>
        <w:tc>
          <w:tcPr>
            <w:tcW w:w="1760" w:type="dxa"/>
            <w:tcBorders>
              <w:top w:val="nil"/>
              <w:left w:val="nil"/>
              <w:bottom w:val="nil"/>
              <w:right w:val="nil"/>
            </w:tcBorders>
            <w:shd w:val="clear" w:color="auto" w:fill="auto"/>
            <w:noWrap/>
            <w:vAlign w:val="center"/>
            <w:hideMark/>
          </w:tcPr>
          <w:p w14:paraId="26DA14A9"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086B718D" w14:textId="77777777" w:rsidTr="00E142F8">
        <w:trPr>
          <w:trHeight w:val="300"/>
        </w:trPr>
        <w:tc>
          <w:tcPr>
            <w:tcW w:w="3160" w:type="dxa"/>
            <w:tcBorders>
              <w:top w:val="nil"/>
              <w:left w:val="nil"/>
              <w:bottom w:val="nil"/>
              <w:right w:val="nil"/>
            </w:tcBorders>
            <w:shd w:val="clear" w:color="auto" w:fill="auto"/>
            <w:vAlign w:val="center"/>
            <w:hideMark/>
          </w:tcPr>
          <w:p w14:paraId="0D6401B8" w14:textId="77777777" w:rsidR="00E142F8" w:rsidRPr="00E142F8" w:rsidRDefault="00E142F8" w:rsidP="00E142F8">
            <w:pPr>
              <w:spacing w:after="0" w:line="240" w:lineRule="auto"/>
              <w:rPr>
                <w:rFonts w:ascii="Calibri" w:eastAsia="Times New Roman" w:hAnsi="Calibri" w:cs="Calibri"/>
                <w:color w:val="000000"/>
                <w:sz w:val="24"/>
                <w:szCs w:val="24"/>
              </w:rPr>
            </w:pPr>
          </w:p>
        </w:tc>
        <w:tc>
          <w:tcPr>
            <w:tcW w:w="1240" w:type="dxa"/>
            <w:tcBorders>
              <w:top w:val="nil"/>
              <w:left w:val="nil"/>
              <w:bottom w:val="nil"/>
              <w:right w:val="nil"/>
            </w:tcBorders>
            <w:shd w:val="clear" w:color="auto" w:fill="auto"/>
            <w:vAlign w:val="center"/>
            <w:hideMark/>
          </w:tcPr>
          <w:p w14:paraId="50A2A079"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09F31761"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4DD49A69"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7034947E"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2C31AA9F"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370ED4EE" w14:textId="77777777" w:rsidTr="00E142F8">
        <w:trPr>
          <w:trHeight w:val="300"/>
        </w:trPr>
        <w:tc>
          <w:tcPr>
            <w:tcW w:w="3160" w:type="dxa"/>
            <w:tcBorders>
              <w:top w:val="nil"/>
              <w:left w:val="nil"/>
              <w:bottom w:val="nil"/>
              <w:right w:val="nil"/>
            </w:tcBorders>
            <w:shd w:val="clear" w:color="auto" w:fill="auto"/>
            <w:vAlign w:val="center"/>
            <w:hideMark/>
          </w:tcPr>
          <w:p w14:paraId="1CEFF542"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3CA09FF2"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7924DEE0"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16874105"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5DD62A37"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7C1E722B"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29F0EDF2"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4F0B8B4C"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proofErr w:type="spellStart"/>
            <w:r w:rsidRPr="00E142F8">
              <w:rPr>
                <w:rFonts w:ascii="Calibri" w:eastAsia="Times New Roman" w:hAnsi="Calibri" w:cs="Calibri"/>
                <w:b/>
                <w:bCs/>
                <w:i/>
                <w:iCs/>
                <w:color w:val="000000"/>
                <w:sz w:val="24"/>
                <w:szCs w:val="24"/>
              </w:rPr>
              <w:t>Lasioglossum</w:t>
            </w:r>
            <w:proofErr w:type="spellEnd"/>
            <w:r w:rsidRPr="00E142F8">
              <w:rPr>
                <w:rFonts w:ascii="Calibri" w:eastAsia="Times New Roman" w:hAnsi="Calibri" w:cs="Calibri"/>
                <w:b/>
                <w:bCs/>
                <w:i/>
                <w:iCs/>
                <w:color w:val="000000"/>
                <w:sz w:val="24"/>
                <w:szCs w:val="24"/>
              </w:rPr>
              <w:t xml:space="preserve"> </w:t>
            </w:r>
            <w:proofErr w:type="spellStart"/>
            <w:r w:rsidRPr="00E142F8">
              <w:rPr>
                <w:rFonts w:ascii="Calibri" w:eastAsia="Times New Roman" w:hAnsi="Calibri" w:cs="Calibri"/>
                <w:b/>
                <w:bCs/>
                <w:i/>
                <w:iCs/>
                <w:color w:val="000000"/>
                <w:sz w:val="24"/>
                <w:szCs w:val="24"/>
              </w:rPr>
              <w:t>pauxilum</w:t>
            </w:r>
            <w:proofErr w:type="spellEnd"/>
          </w:p>
        </w:tc>
        <w:tc>
          <w:tcPr>
            <w:tcW w:w="1240" w:type="dxa"/>
            <w:tcBorders>
              <w:top w:val="nil"/>
              <w:left w:val="nil"/>
              <w:bottom w:val="single" w:sz="4" w:space="0" w:color="auto"/>
              <w:right w:val="nil"/>
            </w:tcBorders>
            <w:shd w:val="clear" w:color="auto" w:fill="auto"/>
            <w:vAlign w:val="center"/>
            <w:hideMark/>
          </w:tcPr>
          <w:p w14:paraId="08EBBE7A"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56F6F5F5"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5B469537"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3DD73752"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0472248D"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1B92339A" w14:textId="77777777" w:rsidTr="00E142F8">
        <w:trPr>
          <w:trHeight w:val="315"/>
        </w:trPr>
        <w:tc>
          <w:tcPr>
            <w:tcW w:w="3160" w:type="dxa"/>
            <w:tcBorders>
              <w:top w:val="nil"/>
              <w:left w:val="nil"/>
              <w:bottom w:val="nil"/>
              <w:right w:val="nil"/>
            </w:tcBorders>
            <w:shd w:val="clear" w:color="000000" w:fill="FFFFFF"/>
            <w:noWrap/>
            <w:vAlign w:val="center"/>
            <w:hideMark/>
          </w:tcPr>
          <w:p w14:paraId="1AE523A6"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vAlign w:val="center"/>
            <w:hideMark/>
          </w:tcPr>
          <w:p w14:paraId="63955CC3" w14:textId="2CE304E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017</w:t>
            </w:r>
          </w:p>
        </w:tc>
        <w:tc>
          <w:tcPr>
            <w:tcW w:w="1240" w:type="dxa"/>
            <w:tcBorders>
              <w:top w:val="nil"/>
              <w:left w:val="nil"/>
              <w:bottom w:val="nil"/>
              <w:right w:val="nil"/>
            </w:tcBorders>
            <w:shd w:val="clear" w:color="auto" w:fill="auto"/>
            <w:vAlign w:val="center"/>
            <w:hideMark/>
          </w:tcPr>
          <w:p w14:paraId="74148D49" w14:textId="723A9AA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109</w:t>
            </w:r>
          </w:p>
        </w:tc>
        <w:tc>
          <w:tcPr>
            <w:tcW w:w="1240" w:type="dxa"/>
            <w:tcBorders>
              <w:top w:val="nil"/>
              <w:left w:val="nil"/>
              <w:bottom w:val="nil"/>
              <w:right w:val="nil"/>
            </w:tcBorders>
            <w:shd w:val="clear" w:color="auto" w:fill="auto"/>
            <w:vAlign w:val="center"/>
            <w:hideMark/>
          </w:tcPr>
          <w:p w14:paraId="537D31AA" w14:textId="151F153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022</w:t>
            </w:r>
          </w:p>
        </w:tc>
        <w:tc>
          <w:tcPr>
            <w:tcW w:w="1240" w:type="dxa"/>
            <w:tcBorders>
              <w:top w:val="nil"/>
              <w:left w:val="nil"/>
              <w:bottom w:val="nil"/>
              <w:right w:val="nil"/>
            </w:tcBorders>
            <w:shd w:val="clear" w:color="auto" w:fill="auto"/>
            <w:vAlign w:val="center"/>
            <w:hideMark/>
          </w:tcPr>
          <w:p w14:paraId="04E72240" w14:textId="2AF8FB0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887</w:t>
            </w:r>
          </w:p>
        </w:tc>
        <w:tc>
          <w:tcPr>
            <w:tcW w:w="1760" w:type="dxa"/>
            <w:tcBorders>
              <w:top w:val="nil"/>
              <w:left w:val="nil"/>
              <w:bottom w:val="nil"/>
              <w:right w:val="nil"/>
            </w:tcBorders>
            <w:shd w:val="clear" w:color="auto" w:fill="auto"/>
            <w:noWrap/>
            <w:vAlign w:val="center"/>
            <w:hideMark/>
          </w:tcPr>
          <w:p w14:paraId="32199C69"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4D8AA9D7" w14:textId="77777777" w:rsidTr="00E142F8">
        <w:trPr>
          <w:trHeight w:val="315"/>
        </w:trPr>
        <w:tc>
          <w:tcPr>
            <w:tcW w:w="3160" w:type="dxa"/>
            <w:tcBorders>
              <w:top w:val="nil"/>
              <w:left w:val="nil"/>
              <w:bottom w:val="nil"/>
              <w:right w:val="nil"/>
            </w:tcBorders>
            <w:shd w:val="clear" w:color="000000" w:fill="FFFFFF"/>
            <w:noWrap/>
            <w:vAlign w:val="center"/>
            <w:hideMark/>
          </w:tcPr>
          <w:p w14:paraId="52D24B0C"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6895FCB9" w14:textId="01696CC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572</w:t>
            </w:r>
          </w:p>
        </w:tc>
        <w:tc>
          <w:tcPr>
            <w:tcW w:w="1240" w:type="dxa"/>
            <w:tcBorders>
              <w:top w:val="nil"/>
              <w:left w:val="nil"/>
              <w:bottom w:val="nil"/>
              <w:right w:val="nil"/>
            </w:tcBorders>
            <w:shd w:val="clear" w:color="auto" w:fill="auto"/>
            <w:vAlign w:val="center"/>
            <w:hideMark/>
          </w:tcPr>
          <w:p w14:paraId="5D0D3E97" w14:textId="7B1F8AEC"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531</w:t>
            </w:r>
          </w:p>
        </w:tc>
        <w:tc>
          <w:tcPr>
            <w:tcW w:w="1240" w:type="dxa"/>
            <w:tcBorders>
              <w:top w:val="nil"/>
              <w:left w:val="nil"/>
              <w:bottom w:val="nil"/>
              <w:right w:val="nil"/>
            </w:tcBorders>
            <w:shd w:val="clear" w:color="auto" w:fill="auto"/>
            <w:vAlign w:val="center"/>
            <w:hideMark/>
          </w:tcPr>
          <w:p w14:paraId="60270A95" w14:textId="15C29A17"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738</w:t>
            </w:r>
          </w:p>
        </w:tc>
        <w:tc>
          <w:tcPr>
            <w:tcW w:w="1240" w:type="dxa"/>
            <w:tcBorders>
              <w:top w:val="nil"/>
              <w:left w:val="nil"/>
              <w:bottom w:val="nil"/>
              <w:right w:val="nil"/>
            </w:tcBorders>
            <w:shd w:val="clear" w:color="auto" w:fill="auto"/>
            <w:vAlign w:val="center"/>
            <w:hideMark/>
          </w:tcPr>
          <w:p w14:paraId="54CDED44" w14:textId="7F01E128"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419</w:t>
            </w:r>
          </w:p>
        </w:tc>
        <w:tc>
          <w:tcPr>
            <w:tcW w:w="1760" w:type="dxa"/>
            <w:tcBorders>
              <w:top w:val="nil"/>
              <w:left w:val="nil"/>
              <w:bottom w:val="nil"/>
              <w:right w:val="nil"/>
            </w:tcBorders>
            <w:shd w:val="clear" w:color="auto" w:fill="auto"/>
            <w:noWrap/>
            <w:vAlign w:val="center"/>
            <w:hideMark/>
          </w:tcPr>
          <w:p w14:paraId="7B141C32"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30756EA8" w14:textId="77777777" w:rsidTr="00E142F8">
        <w:trPr>
          <w:trHeight w:val="315"/>
        </w:trPr>
        <w:tc>
          <w:tcPr>
            <w:tcW w:w="3160" w:type="dxa"/>
            <w:tcBorders>
              <w:top w:val="nil"/>
              <w:left w:val="nil"/>
              <w:bottom w:val="nil"/>
              <w:right w:val="nil"/>
            </w:tcBorders>
            <w:shd w:val="clear" w:color="000000" w:fill="FFFFFF"/>
            <w:noWrap/>
            <w:vAlign w:val="center"/>
            <w:hideMark/>
          </w:tcPr>
          <w:p w14:paraId="5BA28AB9"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05B0D173" w14:textId="3D348EC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874</w:t>
            </w:r>
          </w:p>
        </w:tc>
        <w:tc>
          <w:tcPr>
            <w:tcW w:w="1240" w:type="dxa"/>
            <w:tcBorders>
              <w:top w:val="nil"/>
              <w:left w:val="nil"/>
              <w:bottom w:val="nil"/>
              <w:right w:val="nil"/>
            </w:tcBorders>
            <w:shd w:val="clear" w:color="auto" w:fill="auto"/>
            <w:vAlign w:val="center"/>
            <w:hideMark/>
          </w:tcPr>
          <w:p w14:paraId="6B5FCE04" w14:textId="3D3F876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797</w:t>
            </w:r>
          </w:p>
        </w:tc>
        <w:tc>
          <w:tcPr>
            <w:tcW w:w="1240" w:type="dxa"/>
            <w:tcBorders>
              <w:top w:val="nil"/>
              <w:left w:val="nil"/>
              <w:bottom w:val="nil"/>
              <w:right w:val="nil"/>
            </w:tcBorders>
            <w:shd w:val="clear" w:color="auto" w:fill="auto"/>
            <w:vAlign w:val="center"/>
            <w:hideMark/>
          </w:tcPr>
          <w:p w14:paraId="556F53DB" w14:textId="73DB1B0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203</w:t>
            </w:r>
          </w:p>
        </w:tc>
        <w:tc>
          <w:tcPr>
            <w:tcW w:w="1240" w:type="dxa"/>
            <w:tcBorders>
              <w:top w:val="nil"/>
              <w:left w:val="nil"/>
              <w:bottom w:val="nil"/>
              <w:right w:val="nil"/>
            </w:tcBorders>
            <w:shd w:val="clear" w:color="auto" w:fill="auto"/>
            <w:vAlign w:val="center"/>
            <w:hideMark/>
          </w:tcPr>
          <w:p w14:paraId="2AF0E1AF" w14:textId="3E7F504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309</w:t>
            </w:r>
          </w:p>
        </w:tc>
        <w:tc>
          <w:tcPr>
            <w:tcW w:w="1760" w:type="dxa"/>
            <w:tcBorders>
              <w:top w:val="nil"/>
              <w:left w:val="nil"/>
              <w:bottom w:val="nil"/>
              <w:right w:val="nil"/>
            </w:tcBorders>
            <w:shd w:val="clear" w:color="auto" w:fill="auto"/>
            <w:noWrap/>
            <w:vAlign w:val="center"/>
            <w:hideMark/>
          </w:tcPr>
          <w:p w14:paraId="760ECA57"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2F520BB7" w14:textId="77777777" w:rsidTr="00E142F8">
        <w:trPr>
          <w:trHeight w:val="300"/>
        </w:trPr>
        <w:tc>
          <w:tcPr>
            <w:tcW w:w="3160" w:type="dxa"/>
            <w:tcBorders>
              <w:top w:val="nil"/>
              <w:left w:val="nil"/>
              <w:bottom w:val="nil"/>
              <w:right w:val="nil"/>
            </w:tcBorders>
            <w:shd w:val="clear" w:color="auto" w:fill="auto"/>
            <w:vAlign w:val="center"/>
            <w:hideMark/>
          </w:tcPr>
          <w:p w14:paraId="2422F109" w14:textId="77777777" w:rsidR="00E142F8" w:rsidRPr="00E142F8" w:rsidRDefault="00E142F8" w:rsidP="00E142F8">
            <w:pPr>
              <w:spacing w:after="0" w:line="240" w:lineRule="auto"/>
              <w:rPr>
                <w:rFonts w:ascii="Calibri" w:eastAsia="Times New Roman" w:hAnsi="Calibri" w:cs="Calibri"/>
                <w:color w:val="000000"/>
                <w:sz w:val="24"/>
                <w:szCs w:val="24"/>
              </w:rPr>
            </w:pPr>
          </w:p>
        </w:tc>
        <w:tc>
          <w:tcPr>
            <w:tcW w:w="1240" w:type="dxa"/>
            <w:tcBorders>
              <w:top w:val="nil"/>
              <w:left w:val="nil"/>
              <w:bottom w:val="nil"/>
              <w:right w:val="nil"/>
            </w:tcBorders>
            <w:shd w:val="clear" w:color="auto" w:fill="auto"/>
            <w:vAlign w:val="center"/>
            <w:hideMark/>
          </w:tcPr>
          <w:p w14:paraId="6B859D1D"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7FE9603C"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371DE3FF"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10C06D67"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4131D1FF"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0C25CD2D" w14:textId="77777777" w:rsidTr="00E142F8">
        <w:trPr>
          <w:trHeight w:val="300"/>
        </w:trPr>
        <w:tc>
          <w:tcPr>
            <w:tcW w:w="3160" w:type="dxa"/>
            <w:tcBorders>
              <w:top w:val="nil"/>
              <w:left w:val="nil"/>
              <w:bottom w:val="nil"/>
              <w:right w:val="nil"/>
            </w:tcBorders>
            <w:shd w:val="clear" w:color="auto" w:fill="auto"/>
            <w:vAlign w:val="center"/>
            <w:hideMark/>
          </w:tcPr>
          <w:p w14:paraId="79982A6B"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5DA03AE3"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67000595"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06E30D48"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4F814910"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2DDCD6B6"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1252AEBB"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213CEEA6"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r w:rsidRPr="00E142F8">
              <w:rPr>
                <w:rFonts w:ascii="Calibri" w:eastAsia="Times New Roman" w:hAnsi="Calibri" w:cs="Calibri"/>
                <w:b/>
                <w:bCs/>
                <w:i/>
                <w:iCs/>
                <w:color w:val="000000"/>
                <w:sz w:val="24"/>
                <w:szCs w:val="24"/>
              </w:rPr>
              <w:t>Bombus terrestris</w:t>
            </w:r>
          </w:p>
        </w:tc>
        <w:tc>
          <w:tcPr>
            <w:tcW w:w="1240" w:type="dxa"/>
            <w:tcBorders>
              <w:top w:val="nil"/>
              <w:left w:val="nil"/>
              <w:bottom w:val="single" w:sz="4" w:space="0" w:color="auto"/>
              <w:right w:val="nil"/>
            </w:tcBorders>
            <w:shd w:val="clear" w:color="auto" w:fill="auto"/>
            <w:vAlign w:val="center"/>
            <w:hideMark/>
          </w:tcPr>
          <w:p w14:paraId="399C0BBB"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327ACBF7"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2BEFA410"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2375D1C8"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79FDA292"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7847DD55" w14:textId="77777777" w:rsidTr="00E142F8">
        <w:trPr>
          <w:trHeight w:val="315"/>
        </w:trPr>
        <w:tc>
          <w:tcPr>
            <w:tcW w:w="3160" w:type="dxa"/>
            <w:tcBorders>
              <w:top w:val="nil"/>
              <w:left w:val="nil"/>
              <w:bottom w:val="nil"/>
              <w:right w:val="nil"/>
            </w:tcBorders>
            <w:shd w:val="clear" w:color="000000" w:fill="FFFFFF"/>
            <w:noWrap/>
            <w:vAlign w:val="center"/>
            <w:hideMark/>
          </w:tcPr>
          <w:p w14:paraId="090600CC"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vAlign w:val="center"/>
            <w:hideMark/>
          </w:tcPr>
          <w:p w14:paraId="465942D0" w14:textId="3C2DDCA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282</w:t>
            </w:r>
          </w:p>
        </w:tc>
        <w:tc>
          <w:tcPr>
            <w:tcW w:w="1240" w:type="dxa"/>
            <w:tcBorders>
              <w:top w:val="nil"/>
              <w:left w:val="nil"/>
              <w:bottom w:val="nil"/>
              <w:right w:val="nil"/>
            </w:tcBorders>
            <w:shd w:val="clear" w:color="auto" w:fill="auto"/>
            <w:vAlign w:val="center"/>
            <w:hideMark/>
          </w:tcPr>
          <w:p w14:paraId="696501F2" w14:textId="6F8C292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785</w:t>
            </w:r>
          </w:p>
        </w:tc>
        <w:tc>
          <w:tcPr>
            <w:tcW w:w="1240" w:type="dxa"/>
            <w:tcBorders>
              <w:top w:val="nil"/>
              <w:left w:val="nil"/>
              <w:bottom w:val="nil"/>
              <w:right w:val="nil"/>
            </w:tcBorders>
            <w:shd w:val="clear" w:color="auto" w:fill="auto"/>
            <w:vAlign w:val="center"/>
            <w:hideMark/>
          </w:tcPr>
          <w:p w14:paraId="63089FB1" w14:textId="57AFDD7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041</w:t>
            </w:r>
          </w:p>
        </w:tc>
        <w:tc>
          <w:tcPr>
            <w:tcW w:w="1240" w:type="dxa"/>
            <w:tcBorders>
              <w:top w:val="nil"/>
              <w:left w:val="nil"/>
              <w:bottom w:val="nil"/>
              <w:right w:val="nil"/>
            </w:tcBorders>
            <w:shd w:val="clear" w:color="auto" w:fill="auto"/>
            <w:vAlign w:val="center"/>
            <w:hideMark/>
          </w:tcPr>
          <w:p w14:paraId="5CE33007" w14:textId="773DF7D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844</w:t>
            </w:r>
          </w:p>
        </w:tc>
        <w:tc>
          <w:tcPr>
            <w:tcW w:w="1760" w:type="dxa"/>
            <w:tcBorders>
              <w:top w:val="nil"/>
              <w:left w:val="nil"/>
              <w:bottom w:val="nil"/>
              <w:right w:val="nil"/>
            </w:tcBorders>
            <w:shd w:val="clear" w:color="auto" w:fill="auto"/>
            <w:noWrap/>
            <w:vAlign w:val="center"/>
            <w:hideMark/>
          </w:tcPr>
          <w:p w14:paraId="12B65782"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65C0F643" w14:textId="77777777" w:rsidTr="00E142F8">
        <w:trPr>
          <w:trHeight w:val="315"/>
        </w:trPr>
        <w:tc>
          <w:tcPr>
            <w:tcW w:w="3160" w:type="dxa"/>
            <w:tcBorders>
              <w:top w:val="nil"/>
              <w:left w:val="nil"/>
              <w:bottom w:val="nil"/>
              <w:right w:val="nil"/>
            </w:tcBorders>
            <w:shd w:val="clear" w:color="000000" w:fill="FFFFFF"/>
            <w:noWrap/>
            <w:vAlign w:val="center"/>
            <w:hideMark/>
          </w:tcPr>
          <w:p w14:paraId="7802EE2D"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23782E8F" w14:textId="519702F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560</w:t>
            </w:r>
          </w:p>
        </w:tc>
        <w:tc>
          <w:tcPr>
            <w:tcW w:w="1240" w:type="dxa"/>
            <w:tcBorders>
              <w:top w:val="nil"/>
              <w:left w:val="nil"/>
              <w:bottom w:val="nil"/>
              <w:right w:val="nil"/>
            </w:tcBorders>
            <w:shd w:val="clear" w:color="auto" w:fill="auto"/>
            <w:vAlign w:val="center"/>
            <w:hideMark/>
          </w:tcPr>
          <w:p w14:paraId="549EE151" w14:textId="12D5BB0D"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590</w:t>
            </w:r>
          </w:p>
        </w:tc>
        <w:tc>
          <w:tcPr>
            <w:tcW w:w="1240" w:type="dxa"/>
            <w:tcBorders>
              <w:top w:val="nil"/>
              <w:left w:val="nil"/>
              <w:bottom w:val="nil"/>
              <w:right w:val="nil"/>
            </w:tcBorders>
            <w:shd w:val="clear" w:color="auto" w:fill="auto"/>
            <w:vAlign w:val="center"/>
            <w:hideMark/>
          </w:tcPr>
          <w:p w14:paraId="6E36B132" w14:textId="35963AF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259</w:t>
            </w:r>
          </w:p>
        </w:tc>
        <w:tc>
          <w:tcPr>
            <w:tcW w:w="1240" w:type="dxa"/>
            <w:tcBorders>
              <w:top w:val="nil"/>
              <w:left w:val="nil"/>
              <w:bottom w:val="nil"/>
              <w:right w:val="nil"/>
            </w:tcBorders>
            <w:shd w:val="clear" w:color="auto" w:fill="auto"/>
            <w:vAlign w:val="center"/>
            <w:hideMark/>
          </w:tcPr>
          <w:p w14:paraId="4338C406" w14:textId="0E6CE7B8"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623</w:t>
            </w:r>
          </w:p>
        </w:tc>
        <w:tc>
          <w:tcPr>
            <w:tcW w:w="1760" w:type="dxa"/>
            <w:tcBorders>
              <w:top w:val="nil"/>
              <w:left w:val="nil"/>
              <w:bottom w:val="nil"/>
              <w:right w:val="nil"/>
            </w:tcBorders>
            <w:shd w:val="clear" w:color="auto" w:fill="auto"/>
            <w:noWrap/>
            <w:vAlign w:val="center"/>
            <w:hideMark/>
          </w:tcPr>
          <w:p w14:paraId="73C4F391"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495C10C8" w14:textId="77777777" w:rsidTr="00E142F8">
        <w:trPr>
          <w:trHeight w:val="315"/>
        </w:trPr>
        <w:tc>
          <w:tcPr>
            <w:tcW w:w="3160" w:type="dxa"/>
            <w:tcBorders>
              <w:top w:val="nil"/>
              <w:left w:val="nil"/>
              <w:bottom w:val="nil"/>
              <w:right w:val="nil"/>
            </w:tcBorders>
            <w:shd w:val="clear" w:color="000000" w:fill="FFFFFF"/>
            <w:noWrap/>
            <w:vAlign w:val="center"/>
            <w:hideMark/>
          </w:tcPr>
          <w:p w14:paraId="36B45A75"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3FFF067B" w14:textId="07DCF4F0"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859</w:t>
            </w:r>
          </w:p>
        </w:tc>
        <w:tc>
          <w:tcPr>
            <w:tcW w:w="1240" w:type="dxa"/>
            <w:tcBorders>
              <w:top w:val="nil"/>
              <w:left w:val="nil"/>
              <w:bottom w:val="nil"/>
              <w:right w:val="nil"/>
            </w:tcBorders>
            <w:shd w:val="clear" w:color="auto" w:fill="auto"/>
            <w:vAlign w:val="center"/>
            <w:hideMark/>
          </w:tcPr>
          <w:p w14:paraId="35A87D91" w14:textId="0C59A7D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413</w:t>
            </w:r>
          </w:p>
        </w:tc>
        <w:tc>
          <w:tcPr>
            <w:tcW w:w="1240" w:type="dxa"/>
            <w:tcBorders>
              <w:top w:val="nil"/>
              <w:left w:val="nil"/>
              <w:bottom w:val="nil"/>
              <w:right w:val="nil"/>
            </w:tcBorders>
            <w:shd w:val="clear" w:color="auto" w:fill="auto"/>
            <w:vAlign w:val="center"/>
            <w:hideMark/>
          </w:tcPr>
          <w:p w14:paraId="1BE5F833" w14:textId="7F506809"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738</w:t>
            </w:r>
          </w:p>
        </w:tc>
        <w:tc>
          <w:tcPr>
            <w:tcW w:w="1240" w:type="dxa"/>
            <w:tcBorders>
              <w:top w:val="nil"/>
              <w:left w:val="nil"/>
              <w:bottom w:val="nil"/>
              <w:right w:val="nil"/>
            </w:tcBorders>
            <w:shd w:val="clear" w:color="auto" w:fill="auto"/>
            <w:vAlign w:val="center"/>
            <w:hideMark/>
          </w:tcPr>
          <w:p w14:paraId="606F6BCE" w14:textId="786713E1"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413</w:t>
            </w:r>
          </w:p>
        </w:tc>
        <w:tc>
          <w:tcPr>
            <w:tcW w:w="1760" w:type="dxa"/>
            <w:tcBorders>
              <w:top w:val="nil"/>
              <w:left w:val="nil"/>
              <w:bottom w:val="nil"/>
              <w:right w:val="nil"/>
            </w:tcBorders>
            <w:shd w:val="clear" w:color="auto" w:fill="auto"/>
            <w:noWrap/>
            <w:vAlign w:val="center"/>
            <w:hideMark/>
          </w:tcPr>
          <w:p w14:paraId="2D87AF47"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275FB9E9" w14:textId="77777777" w:rsidTr="00E142F8">
        <w:trPr>
          <w:trHeight w:val="300"/>
        </w:trPr>
        <w:tc>
          <w:tcPr>
            <w:tcW w:w="3160" w:type="dxa"/>
            <w:tcBorders>
              <w:top w:val="nil"/>
              <w:left w:val="nil"/>
              <w:bottom w:val="nil"/>
              <w:right w:val="nil"/>
            </w:tcBorders>
            <w:shd w:val="clear" w:color="auto" w:fill="auto"/>
            <w:vAlign w:val="center"/>
            <w:hideMark/>
          </w:tcPr>
          <w:p w14:paraId="6BFCA843" w14:textId="77777777" w:rsidR="00E142F8" w:rsidRPr="00E142F8" w:rsidRDefault="00E142F8" w:rsidP="00E142F8">
            <w:pPr>
              <w:spacing w:after="0" w:line="240" w:lineRule="auto"/>
              <w:rPr>
                <w:rFonts w:ascii="Calibri" w:eastAsia="Times New Roman" w:hAnsi="Calibri" w:cs="Calibri"/>
                <w:color w:val="000000"/>
                <w:sz w:val="24"/>
                <w:szCs w:val="24"/>
              </w:rPr>
            </w:pPr>
          </w:p>
        </w:tc>
        <w:tc>
          <w:tcPr>
            <w:tcW w:w="1240" w:type="dxa"/>
            <w:tcBorders>
              <w:top w:val="nil"/>
              <w:left w:val="nil"/>
              <w:bottom w:val="nil"/>
              <w:right w:val="nil"/>
            </w:tcBorders>
            <w:shd w:val="clear" w:color="auto" w:fill="auto"/>
            <w:vAlign w:val="center"/>
            <w:hideMark/>
          </w:tcPr>
          <w:p w14:paraId="56D009D9"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0616BF40"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31B39F91"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52FD42AF"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58F41894"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78C463F6" w14:textId="77777777" w:rsidTr="00E142F8">
        <w:trPr>
          <w:trHeight w:val="300"/>
        </w:trPr>
        <w:tc>
          <w:tcPr>
            <w:tcW w:w="3160" w:type="dxa"/>
            <w:tcBorders>
              <w:top w:val="nil"/>
              <w:left w:val="nil"/>
              <w:bottom w:val="nil"/>
              <w:right w:val="nil"/>
            </w:tcBorders>
            <w:shd w:val="clear" w:color="auto" w:fill="auto"/>
            <w:vAlign w:val="center"/>
            <w:hideMark/>
          </w:tcPr>
          <w:p w14:paraId="1E6BF8D0"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2F34FCE2"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1ED64238"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1CB72933"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vAlign w:val="center"/>
            <w:hideMark/>
          </w:tcPr>
          <w:p w14:paraId="39B44E9D" w14:textId="77777777" w:rsidR="00E142F8" w:rsidRPr="00E142F8" w:rsidRDefault="00E142F8" w:rsidP="00E142F8">
            <w:pPr>
              <w:spacing w:after="0" w:line="240" w:lineRule="auto"/>
              <w:rPr>
                <w:rFonts w:ascii="Times New Roman" w:eastAsia="Times New Roman" w:hAnsi="Times New Roman" w:cs="Times New Roman"/>
                <w:sz w:val="20"/>
                <w:szCs w:val="20"/>
              </w:rPr>
            </w:pPr>
          </w:p>
        </w:tc>
        <w:tc>
          <w:tcPr>
            <w:tcW w:w="1760" w:type="dxa"/>
            <w:tcBorders>
              <w:top w:val="nil"/>
              <w:left w:val="nil"/>
              <w:bottom w:val="nil"/>
              <w:right w:val="nil"/>
            </w:tcBorders>
            <w:shd w:val="clear" w:color="auto" w:fill="auto"/>
            <w:vAlign w:val="center"/>
            <w:hideMark/>
          </w:tcPr>
          <w:p w14:paraId="5538A2A4" w14:textId="77777777" w:rsidR="00E142F8" w:rsidRPr="00E142F8" w:rsidRDefault="00E142F8" w:rsidP="00E142F8">
            <w:pPr>
              <w:spacing w:after="0" w:line="240" w:lineRule="auto"/>
              <w:rPr>
                <w:rFonts w:ascii="Times New Roman" w:eastAsia="Times New Roman" w:hAnsi="Times New Roman" w:cs="Times New Roman"/>
                <w:sz w:val="20"/>
                <w:szCs w:val="20"/>
              </w:rPr>
            </w:pPr>
          </w:p>
        </w:tc>
      </w:tr>
      <w:tr w:rsidR="00E142F8" w:rsidRPr="00E142F8" w14:paraId="2B4EACCB" w14:textId="77777777" w:rsidTr="00E142F8">
        <w:trPr>
          <w:trHeight w:val="630"/>
        </w:trPr>
        <w:tc>
          <w:tcPr>
            <w:tcW w:w="3160" w:type="dxa"/>
            <w:tcBorders>
              <w:top w:val="nil"/>
              <w:left w:val="nil"/>
              <w:bottom w:val="single" w:sz="4" w:space="0" w:color="auto"/>
              <w:right w:val="nil"/>
            </w:tcBorders>
            <w:shd w:val="clear" w:color="000000" w:fill="FFFFFF"/>
            <w:vAlign w:val="center"/>
            <w:hideMark/>
          </w:tcPr>
          <w:p w14:paraId="213BD446"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 xml:space="preserve">Pollen Diversity from </w:t>
            </w:r>
            <w:r w:rsidRPr="00E142F8">
              <w:rPr>
                <w:rFonts w:ascii="Calibri" w:eastAsia="Times New Roman" w:hAnsi="Calibri" w:cs="Calibri"/>
                <w:b/>
                <w:bCs/>
                <w:i/>
                <w:iCs/>
                <w:color w:val="000000"/>
                <w:sz w:val="24"/>
                <w:szCs w:val="24"/>
              </w:rPr>
              <w:t>Andrena nitida</w:t>
            </w:r>
          </w:p>
        </w:tc>
        <w:tc>
          <w:tcPr>
            <w:tcW w:w="1240" w:type="dxa"/>
            <w:tcBorders>
              <w:top w:val="nil"/>
              <w:left w:val="nil"/>
              <w:bottom w:val="single" w:sz="4" w:space="0" w:color="auto"/>
              <w:right w:val="nil"/>
            </w:tcBorders>
            <w:shd w:val="clear" w:color="auto" w:fill="auto"/>
            <w:vAlign w:val="center"/>
            <w:hideMark/>
          </w:tcPr>
          <w:p w14:paraId="0F4B374E"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Estimate</w:t>
            </w:r>
          </w:p>
        </w:tc>
        <w:tc>
          <w:tcPr>
            <w:tcW w:w="1240" w:type="dxa"/>
            <w:tcBorders>
              <w:top w:val="nil"/>
              <w:left w:val="nil"/>
              <w:bottom w:val="single" w:sz="4" w:space="0" w:color="auto"/>
              <w:right w:val="nil"/>
            </w:tcBorders>
            <w:shd w:val="clear" w:color="auto" w:fill="auto"/>
            <w:noWrap/>
            <w:vAlign w:val="center"/>
            <w:hideMark/>
          </w:tcPr>
          <w:p w14:paraId="539575D0"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St. Error</w:t>
            </w:r>
          </w:p>
        </w:tc>
        <w:tc>
          <w:tcPr>
            <w:tcW w:w="1240" w:type="dxa"/>
            <w:tcBorders>
              <w:top w:val="nil"/>
              <w:left w:val="nil"/>
              <w:bottom w:val="single" w:sz="4" w:space="0" w:color="auto"/>
              <w:right w:val="nil"/>
            </w:tcBorders>
            <w:shd w:val="clear" w:color="auto" w:fill="auto"/>
            <w:vAlign w:val="center"/>
            <w:hideMark/>
          </w:tcPr>
          <w:p w14:paraId="27D59B88"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F</w:t>
            </w:r>
          </w:p>
        </w:tc>
        <w:tc>
          <w:tcPr>
            <w:tcW w:w="1240" w:type="dxa"/>
            <w:tcBorders>
              <w:top w:val="nil"/>
              <w:left w:val="nil"/>
              <w:bottom w:val="single" w:sz="4" w:space="0" w:color="auto"/>
              <w:right w:val="nil"/>
            </w:tcBorders>
            <w:shd w:val="clear" w:color="auto" w:fill="auto"/>
            <w:vAlign w:val="center"/>
            <w:hideMark/>
          </w:tcPr>
          <w:p w14:paraId="48BC8A9F" w14:textId="77777777" w:rsidR="00E142F8" w:rsidRPr="00E142F8" w:rsidRDefault="00E142F8" w:rsidP="00E142F8">
            <w:pPr>
              <w:spacing w:after="0" w:line="240" w:lineRule="auto"/>
              <w:rPr>
                <w:rFonts w:ascii="Calibri" w:eastAsia="Times New Roman" w:hAnsi="Calibri" w:cs="Calibri"/>
                <w:b/>
                <w:bCs/>
                <w:color w:val="000000"/>
                <w:sz w:val="24"/>
                <w:szCs w:val="24"/>
              </w:rPr>
            </w:pPr>
            <w:proofErr w:type="spellStart"/>
            <w:r w:rsidRPr="00E142F8">
              <w:rPr>
                <w:rFonts w:ascii="Calibri" w:eastAsia="Times New Roman" w:hAnsi="Calibri" w:cs="Calibri"/>
                <w:b/>
                <w:bCs/>
                <w:color w:val="000000"/>
                <w:sz w:val="24"/>
                <w:szCs w:val="24"/>
              </w:rPr>
              <w:t>Pr</w:t>
            </w:r>
            <w:proofErr w:type="spellEnd"/>
            <w:r w:rsidRPr="00E142F8">
              <w:rPr>
                <w:rFonts w:ascii="Calibri" w:eastAsia="Times New Roman" w:hAnsi="Calibri" w:cs="Calibri"/>
                <w:b/>
                <w:bCs/>
                <w:color w:val="000000"/>
                <w:sz w:val="24"/>
                <w:szCs w:val="24"/>
              </w:rPr>
              <w:t>(&gt;F)</w:t>
            </w:r>
          </w:p>
        </w:tc>
        <w:tc>
          <w:tcPr>
            <w:tcW w:w="1760" w:type="dxa"/>
            <w:tcBorders>
              <w:top w:val="nil"/>
              <w:left w:val="nil"/>
              <w:bottom w:val="single" w:sz="4" w:space="0" w:color="auto"/>
              <w:right w:val="nil"/>
            </w:tcBorders>
            <w:shd w:val="clear" w:color="auto" w:fill="auto"/>
            <w:vAlign w:val="center"/>
            <w:hideMark/>
          </w:tcPr>
          <w:p w14:paraId="041EC3EA" w14:textId="77777777" w:rsidR="00E142F8" w:rsidRPr="00E142F8" w:rsidRDefault="00E142F8" w:rsidP="00E142F8">
            <w:pPr>
              <w:spacing w:after="0" w:line="240" w:lineRule="auto"/>
              <w:rPr>
                <w:rFonts w:ascii="Calibri" w:eastAsia="Times New Roman" w:hAnsi="Calibri" w:cs="Calibri"/>
                <w:b/>
                <w:bCs/>
                <w:color w:val="000000"/>
                <w:sz w:val="24"/>
                <w:szCs w:val="24"/>
              </w:rPr>
            </w:pPr>
            <w:r w:rsidRPr="00E142F8">
              <w:rPr>
                <w:rFonts w:ascii="Calibri" w:eastAsia="Times New Roman" w:hAnsi="Calibri" w:cs="Calibri"/>
                <w:b/>
                <w:bCs/>
                <w:color w:val="000000"/>
                <w:sz w:val="24"/>
                <w:szCs w:val="24"/>
              </w:rPr>
              <w:t>sign.</w:t>
            </w:r>
          </w:p>
        </w:tc>
      </w:tr>
      <w:tr w:rsidR="00E142F8" w:rsidRPr="00E142F8" w14:paraId="7E833BD0" w14:textId="77777777" w:rsidTr="00E142F8">
        <w:trPr>
          <w:trHeight w:val="315"/>
        </w:trPr>
        <w:tc>
          <w:tcPr>
            <w:tcW w:w="3160" w:type="dxa"/>
            <w:tcBorders>
              <w:top w:val="nil"/>
              <w:left w:val="nil"/>
              <w:bottom w:val="nil"/>
              <w:right w:val="nil"/>
            </w:tcBorders>
            <w:shd w:val="clear" w:color="000000" w:fill="FFFFFF"/>
            <w:noWrap/>
            <w:vAlign w:val="center"/>
            <w:hideMark/>
          </w:tcPr>
          <w:p w14:paraId="0447B7D9"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Plant Diversity</w:t>
            </w:r>
          </w:p>
        </w:tc>
        <w:tc>
          <w:tcPr>
            <w:tcW w:w="1240" w:type="dxa"/>
            <w:tcBorders>
              <w:top w:val="nil"/>
              <w:left w:val="nil"/>
              <w:bottom w:val="nil"/>
              <w:right w:val="nil"/>
            </w:tcBorders>
            <w:shd w:val="clear" w:color="auto" w:fill="auto"/>
            <w:vAlign w:val="center"/>
            <w:hideMark/>
          </w:tcPr>
          <w:p w14:paraId="4E64B9FA" w14:textId="35C49DD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277</w:t>
            </w:r>
          </w:p>
        </w:tc>
        <w:tc>
          <w:tcPr>
            <w:tcW w:w="1240" w:type="dxa"/>
            <w:tcBorders>
              <w:top w:val="nil"/>
              <w:left w:val="nil"/>
              <w:bottom w:val="nil"/>
              <w:right w:val="nil"/>
            </w:tcBorders>
            <w:shd w:val="clear" w:color="auto" w:fill="auto"/>
            <w:vAlign w:val="center"/>
            <w:hideMark/>
          </w:tcPr>
          <w:p w14:paraId="093F83DD" w14:textId="3E78629F"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229</w:t>
            </w:r>
          </w:p>
        </w:tc>
        <w:tc>
          <w:tcPr>
            <w:tcW w:w="1240" w:type="dxa"/>
            <w:tcBorders>
              <w:top w:val="nil"/>
              <w:left w:val="nil"/>
              <w:bottom w:val="nil"/>
              <w:right w:val="nil"/>
            </w:tcBorders>
            <w:shd w:val="clear" w:color="auto" w:fill="auto"/>
            <w:vAlign w:val="center"/>
            <w:hideMark/>
          </w:tcPr>
          <w:p w14:paraId="64B2792B" w14:textId="7639F72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2</w:t>
            </w:r>
            <w:r w:rsidR="00304546">
              <w:rPr>
                <w:rFonts w:ascii="Calibri" w:eastAsia="Times New Roman" w:hAnsi="Calibri" w:cs="Calibri"/>
                <w:color w:val="000000"/>
              </w:rPr>
              <w:t>.</w:t>
            </w:r>
            <w:r w:rsidRPr="00E142F8">
              <w:rPr>
                <w:rFonts w:ascii="Calibri" w:eastAsia="Times New Roman" w:hAnsi="Calibri" w:cs="Calibri"/>
                <w:color w:val="000000"/>
              </w:rPr>
              <w:t>550</w:t>
            </w:r>
          </w:p>
        </w:tc>
        <w:tc>
          <w:tcPr>
            <w:tcW w:w="1240" w:type="dxa"/>
            <w:tcBorders>
              <w:top w:val="nil"/>
              <w:left w:val="nil"/>
              <w:bottom w:val="nil"/>
              <w:right w:val="nil"/>
            </w:tcBorders>
            <w:shd w:val="clear" w:color="auto" w:fill="auto"/>
            <w:vAlign w:val="center"/>
            <w:hideMark/>
          </w:tcPr>
          <w:p w14:paraId="2DDF5631" w14:textId="0CE2A9B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161</w:t>
            </w:r>
          </w:p>
        </w:tc>
        <w:tc>
          <w:tcPr>
            <w:tcW w:w="1760" w:type="dxa"/>
            <w:tcBorders>
              <w:top w:val="nil"/>
              <w:left w:val="nil"/>
              <w:bottom w:val="nil"/>
              <w:right w:val="nil"/>
            </w:tcBorders>
            <w:shd w:val="clear" w:color="auto" w:fill="auto"/>
            <w:noWrap/>
            <w:vAlign w:val="center"/>
            <w:hideMark/>
          </w:tcPr>
          <w:p w14:paraId="6BFA5B08"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6A2C2F4E" w14:textId="77777777" w:rsidTr="00E142F8">
        <w:trPr>
          <w:trHeight w:val="315"/>
        </w:trPr>
        <w:tc>
          <w:tcPr>
            <w:tcW w:w="3160" w:type="dxa"/>
            <w:tcBorders>
              <w:top w:val="nil"/>
              <w:left w:val="nil"/>
              <w:bottom w:val="nil"/>
              <w:right w:val="nil"/>
            </w:tcBorders>
            <w:shd w:val="clear" w:color="000000" w:fill="FFFFFF"/>
            <w:noWrap/>
            <w:vAlign w:val="center"/>
            <w:hideMark/>
          </w:tcPr>
          <w:p w14:paraId="0B9A88C9"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use index (LUI)</w:t>
            </w:r>
          </w:p>
        </w:tc>
        <w:tc>
          <w:tcPr>
            <w:tcW w:w="1240" w:type="dxa"/>
            <w:tcBorders>
              <w:top w:val="nil"/>
              <w:left w:val="nil"/>
              <w:bottom w:val="nil"/>
              <w:right w:val="nil"/>
            </w:tcBorders>
            <w:shd w:val="clear" w:color="auto" w:fill="auto"/>
            <w:vAlign w:val="center"/>
            <w:hideMark/>
          </w:tcPr>
          <w:p w14:paraId="427E41FD" w14:textId="6D19A6EC"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929</w:t>
            </w:r>
          </w:p>
        </w:tc>
        <w:tc>
          <w:tcPr>
            <w:tcW w:w="1240" w:type="dxa"/>
            <w:tcBorders>
              <w:top w:val="nil"/>
              <w:left w:val="nil"/>
              <w:bottom w:val="nil"/>
              <w:right w:val="nil"/>
            </w:tcBorders>
            <w:shd w:val="clear" w:color="auto" w:fill="auto"/>
            <w:vAlign w:val="center"/>
            <w:hideMark/>
          </w:tcPr>
          <w:p w14:paraId="00B65EE1" w14:textId="1B3F3393"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704</w:t>
            </w:r>
          </w:p>
        </w:tc>
        <w:tc>
          <w:tcPr>
            <w:tcW w:w="1240" w:type="dxa"/>
            <w:tcBorders>
              <w:top w:val="nil"/>
              <w:left w:val="nil"/>
              <w:bottom w:val="nil"/>
              <w:right w:val="nil"/>
            </w:tcBorders>
            <w:shd w:val="clear" w:color="auto" w:fill="auto"/>
            <w:vAlign w:val="center"/>
            <w:hideMark/>
          </w:tcPr>
          <w:p w14:paraId="6F629AA7" w14:textId="3D7F4EEE"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701</w:t>
            </w:r>
          </w:p>
        </w:tc>
        <w:tc>
          <w:tcPr>
            <w:tcW w:w="1240" w:type="dxa"/>
            <w:tcBorders>
              <w:top w:val="nil"/>
              <w:left w:val="nil"/>
              <w:bottom w:val="nil"/>
              <w:right w:val="nil"/>
            </w:tcBorders>
            <w:shd w:val="clear" w:color="auto" w:fill="auto"/>
            <w:vAlign w:val="center"/>
            <w:hideMark/>
          </w:tcPr>
          <w:p w14:paraId="34D3EC5C" w14:textId="264DB3FC"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240</w:t>
            </w:r>
          </w:p>
        </w:tc>
        <w:tc>
          <w:tcPr>
            <w:tcW w:w="1760" w:type="dxa"/>
            <w:tcBorders>
              <w:top w:val="nil"/>
              <w:left w:val="nil"/>
              <w:bottom w:val="nil"/>
              <w:right w:val="nil"/>
            </w:tcBorders>
            <w:shd w:val="clear" w:color="auto" w:fill="auto"/>
            <w:noWrap/>
            <w:vAlign w:val="center"/>
            <w:hideMark/>
          </w:tcPr>
          <w:p w14:paraId="411F55D2"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r w:rsidR="00E142F8" w:rsidRPr="00E142F8" w14:paraId="18B81B0A" w14:textId="77777777" w:rsidTr="00E142F8">
        <w:trPr>
          <w:trHeight w:val="315"/>
        </w:trPr>
        <w:tc>
          <w:tcPr>
            <w:tcW w:w="3160" w:type="dxa"/>
            <w:tcBorders>
              <w:top w:val="nil"/>
              <w:left w:val="nil"/>
              <w:bottom w:val="nil"/>
              <w:right w:val="nil"/>
            </w:tcBorders>
            <w:shd w:val="clear" w:color="000000" w:fill="FFFFFF"/>
            <w:noWrap/>
            <w:vAlign w:val="center"/>
            <w:hideMark/>
          </w:tcPr>
          <w:p w14:paraId="3C1FB142"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Land heterogeneity index (LHI)</w:t>
            </w:r>
          </w:p>
        </w:tc>
        <w:tc>
          <w:tcPr>
            <w:tcW w:w="1240" w:type="dxa"/>
            <w:tcBorders>
              <w:top w:val="nil"/>
              <w:left w:val="nil"/>
              <w:bottom w:val="nil"/>
              <w:right w:val="nil"/>
            </w:tcBorders>
            <w:shd w:val="clear" w:color="auto" w:fill="auto"/>
            <w:vAlign w:val="center"/>
            <w:hideMark/>
          </w:tcPr>
          <w:p w14:paraId="26DFF65D" w14:textId="78A84D2A"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446</w:t>
            </w:r>
          </w:p>
        </w:tc>
        <w:tc>
          <w:tcPr>
            <w:tcW w:w="1240" w:type="dxa"/>
            <w:tcBorders>
              <w:top w:val="nil"/>
              <w:left w:val="nil"/>
              <w:bottom w:val="nil"/>
              <w:right w:val="nil"/>
            </w:tcBorders>
            <w:shd w:val="clear" w:color="auto" w:fill="auto"/>
            <w:vAlign w:val="center"/>
            <w:hideMark/>
          </w:tcPr>
          <w:p w14:paraId="78FB08E7" w14:textId="3F00CC06"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1</w:t>
            </w:r>
            <w:r w:rsidR="00304546">
              <w:rPr>
                <w:rFonts w:ascii="Calibri" w:eastAsia="Times New Roman" w:hAnsi="Calibri" w:cs="Calibri"/>
                <w:color w:val="000000"/>
              </w:rPr>
              <w:t>.</w:t>
            </w:r>
            <w:r w:rsidRPr="00E142F8">
              <w:rPr>
                <w:rFonts w:ascii="Calibri" w:eastAsia="Times New Roman" w:hAnsi="Calibri" w:cs="Calibri"/>
                <w:color w:val="000000"/>
              </w:rPr>
              <w:t>100</w:t>
            </w:r>
          </w:p>
        </w:tc>
        <w:tc>
          <w:tcPr>
            <w:tcW w:w="1240" w:type="dxa"/>
            <w:tcBorders>
              <w:top w:val="nil"/>
              <w:left w:val="nil"/>
              <w:bottom w:val="nil"/>
              <w:right w:val="nil"/>
            </w:tcBorders>
            <w:shd w:val="clear" w:color="auto" w:fill="auto"/>
            <w:vAlign w:val="center"/>
            <w:hideMark/>
          </w:tcPr>
          <w:p w14:paraId="51916BD2" w14:textId="3CAE7325"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165</w:t>
            </w:r>
          </w:p>
        </w:tc>
        <w:tc>
          <w:tcPr>
            <w:tcW w:w="1240" w:type="dxa"/>
            <w:tcBorders>
              <w:top w:val="nil"/>
              <w:left w:val="nil"/>
              <w:bottom w:val="nil"/>
              <w:right w:val="nil"/>
            </w:tcBorders>
            <w:shd w:val="clear" w:color="auto" w:fill="auto"/>
            <w:vAlign w:val="center"/>
            <w:hideMark/>
          </w:tcPr>
          <w:p w14:paraId="52E23253" w14:textId="65287FEB" w:rsidR="00E142F8" w:rsidRPr="00E142F8" w:rsidRDefault="00E142F8" w:rsidP="00E142F8">
            <w:pPr>
              <w:spacing w:after="0" w:line="240" w:lineRule="auto"/>
              <w:rPr>
                <w:rFonts w:ascii="Calibri" w:eastAsia="Times New Roman" w:hAnsi="Calibri" w:cs="Calibri"/>
                <w:color w:val="000000"/>
              </w:rPr>
            </w:pPr>
            <w:r w:rsidRPr="00E142F8">
              <w:rPr>
                <w:rFonts w:ascii="Calibri" w:eastAsia="Times New Roman" w:hAnsi="Calibri" w:cs="Calibri"/>
                <w:color w:val="000000"/>
              </w:rPr>
              <w:t>0</w:t>
            </w:r>
            <w:r w:rsidR="00304546">
              <w:rPr>
                <w:rFonts w:ascii="Calibri" w:eastAsia="Times New Roman" w:hAnsi="Calibri" w:cs="Calibri"/>
                <w:color w:val="000000"/>
              </w:rPr>
              <w:t>.</w:t>
            </w:r>
            <w:r w:rsidRPr="00E142F8">
              <w:rPr>
                <w:rFonts w:ascii="Calibri" w:eastAsia="Times New Roman" w:hAnsi="Calibri" w:cs="Calibri"/>
                <w:color w:val="000000"/>
              </w:rPr>
              <w:t>699</w:t>
            </w:r>
          </w:p>
        </w:tc>
        <w:tc>
          <w:tcPr>
            <w:tcW w:w="1760" w:type="dxa"/>
            <w:tcBorders>
              <w:top w:val="nil"/>
              <w:left w:val="nil"/>
              <w:bottom w:val="nil"/>
              <w:right w:val="nil"/>
            </w:tcBorders>
            <w:shd w:val="clear" w:color="auto" w:fill="auto"/>
            <w:noWrap/>
            <w:vAlign w:val="center"/>
            <w:hideMark/>
          </w:tcPr>
          <w:p w14:paraId="4AB18E97" w14:textId="77777777" w:rsidR="00E142F8" w:rsidRPr="00E142F8" w:rsidRDefault="00E142F8" w:rsidP="00E142F8">
            <w:pPr>
              <w:spacing w:after="0" w:line="240" w:lineRule="auto"/>
              <w:rPr>
                <w:rFonts w:ascii="Calibri" w:eastAsia="Times New Roman" w:hAnsi="Calibri" w:cs="Calibri"/>
                <w:color w:val="000000"/>
                <w:sz w:val="24"/>
                <w:szCs w:val="24"/>
              </w:rPr>
            </w:pPr>
            <w:r w:rsidRPr="00E142F8">
              <w:rPr>
                <w:rFonts w:ascii="Calibri" w:eastAsia="Times New Roman" w:hAnsi="Calibri" w:cs="Calibri"/>
                <w:color w:val="000000"/>
                <w:sz w:val="24"/>
                <w:szCs w:val="24"/>
              </w:rPr>
              <w:t>Ns</w:t>
            </w:r>
          </w:p>
        </w:tc>
      </w:tr>
    </w:tbl>
    <w:p w14:paraId="7B4DFD8D" w14:textId="3D48E974" w:rsidR="00BB0098" w:rsidRDefault="00BB0098" w:rsidP="00BB0098">
      <w:pPr>
        <w:pStyle w:val="Heading2"/>
      </w:pPr>
    </w:p>
    <w:p w14:paraId="7C88FC2C" w14:textId="77777777" w:rsidR="00BB0098" w:rsidRDefault="00BB0098" w:rsidP="00DA57E4">
      <w:pPr>
        <w:pStyle w:val="Tableheading"/>
      </w:pPr>
    </w:p>
    <w:p w14:paraId="035B2EC5" w14:textId="77777777" w:rsidR="0036168D" w:rsidRDefault="0036168D">
      <w:pPr>
        <w:rPr>
          <w:rFonts w:cstheme="minorHAnsi"/>
          <w:sz w:val="24"/>
          <w:szCs w:val="24"/>
        </w:rPr>
      </w:pPr>
    </w:p>
    <w:p w14:paraId="5C1DDD5C" w14:textId="77777777" w:rsidR="0036168D" w:rsidRDefault="0036168D">
      <w:pPr>
        <w:rPr>
          <w:rFonts w:cstheme="minorHAnsi"/>
          <w:sz w:val="24"/>
          <w:szCs w:val="24"/>
        </w:rPr>
      </w:pPr>
    </w:p>
    <w:p w14:paraId="00C1E931" w14:textId="77777777" w:rsidR="0036168D" w:rsidRDefault="0036168D">
      <w:pPr>
        <w:rPr>
          <w:rFonts w:cstheme="minorHAnsi"/>
          <w:sz w:val="24"/>
          <w:szCs w:val="24"/>
        </w:rPr>
      </w:pPr>
    </w:p>
    <w:p w14:paraId="38179EA9" w14:textId="4E576C07" w:rsidR="00957244" w:rsidRPr="00CF4C2B" w:rsidRDefault="009011AD" w:rsidP="00FD3697">
      <w:pPr>
        <w:pStyle w:val="Heading1"/>
        <w:rPr>
          <w:rFonts w:cstheme="minorHAnsi"/>
          <w:color w:val="auto"/>
          <w:sz w:val="24"/>
          <w:szCs w:val="24"/>
        </w:rPr>
      </w:pPr>
      <w:r w:rsidRPr="00CF4C2B">
        <w:rPr>
          <w:color w:val="auto"/>
        </w:rPr>
        <w:lastRenderedPageBreak/>
        <w:t>Supplementary material - Figures</w:t>
      </w:r>
    </w:p>
    <w:p w14:paraId="348FE5AB" w14:textId="77777777" w:rsidR="00957244" w:rsidRPr="00CF4C2B" w:rsidRDefault="00957244" w:rsidP="00DA57E4">
      <w:pPr>
        <w:pStyle w:val="Tableheading"/>
      </w:pPr>
    </w:p>
    <w:p w14:paraId="7577DB94" w14:textId="24F948A6" w:rsidR="00161B0C" w:rsidRPr="00CF4C2B" w:rsidRDefault="00957244" w:rsidP="00ED56E0">
      <w:pPr>
        <w:pStyle w:val="Heading3"/>
        <w:rPr>
          <w:color w:val="auto"/>
        </w:rPr>
      </w:pPr>
      <w:r w:rsidRPr="00CF4C2B">
        <w:rPr>
          <w:color w:val="auto"/>
        </w:rPr>
        <w:t>Figure S2</w:t>
      </w:r>
      <w:r w:rsidR="00433A81" w:rsidRPr="00CF4C2B">
        <w:rPr>
          <w:color w:val="auto"/>
        </w:rPr>
        <w:t xml:space="preserve">: Correlation </w:t>
      </w:r>
      <w:r w:rsidR="001A2F1B" w:rsidRPr="00CF4C2B">
        <w:rPr>
          <w:color w:val="auto"/>
        </w:rPr>
        <w:t>matrices</w:t>
      </w:r>
      <w:r w:rsidR="001A2F1B" w:rsidRPr="00CF4C2B">
        <w:rPr>
          <w:rFonts w:ascii="Times New Roman" w:hAnsi="Times New Roman"/>
          <w:color w:val="auto"/>
        </w:rPr>
        <w:t xml:space="preserve"> </w:t>
      </w:r>
      <w:r w:rsidR="00161B0C" w:rsidRPr="00CF4C2B">
        <w:rPr>
          <w:color w:val="auto"/>
        </w:rPr>
        <w:t xml:space="preserve">only showing </w:t>
      </w:r>
      <w:r w:rsidR="00CB020D" w:rsidRPr="00CF4C2B">
        <w:rPr>
          <w:color w:val="auto"/>
        </w:rPr>
        <w:t>significant correlations p&lt;0.05</w:t>
      </w:r>
      <w:r w:rsidR="00161B0C" w:rsidRPr="00CF4C2B">
        <w:rPr>
          <w:color w:val="auto"/>
        </w:rPr>
        <w:t xml:space="preserve"> a)</w:t>
      </w:r>
      <w:r w:rsidR="00433A81" w:rsidRPr="00CF4C2B">
        <w:rPr>
          <w:color w:val="auto"/>
        </w:rPr>
        <w:t xml:space="preserve"> between environmental variables</w:t>
      </w:r>
      <w:r w:rsidR="000878D6" w:rsidRPr="00CF4C2B">
        <w:rPr>
          <w:color w:val="auto"/>
        </w:rPr>
        <w:t xml:space="preserve">, </w:t>
      </w:r>
      <w:r w:rsidR="00161B0C" w:rsidRPr="00CF4C2B">
        <w:rPr>
          <w:color w:val="auto"/>
        </w:rPr>
        <w:t>b) between numerical traits from species</w:t>
      </w:r>
      <w:r w:rsidR="001A2F1B" w:rsidRPr="00CF4C2B">
        <w:rPr>
          <w:color w:val="auto"/>
        </w:rPr>
        <w:t>.</w:t>
      </w:r>
      <w:r w:rsidR="00E142F8" w:rsidRPr="00CF4C2B">
        <w:rPr>
          <w:color w:val="auto"/>
        </w:rPr>
        <w:t xml:space="preserve"> Land use heterogeneity (LHI), Land use intensity index (LUI), Plant diversity (</w:t>
      </w:r>
      <w:proofErr w:type="spellStart"/>
      <w:r w:rsidR="00E142F8" w:rsidRPr="00CF4C2B">
        <w:rPr>
          <w:color w:val="auto"/>
        </w:rPr>
        <w:t>Plant_diversity</w:t>
      </w:r>
      <w:proofErr w:type="spellEnd"/>
      <w:r w:rsidR="00E142F8" w:rsidRPr="00CF4C2B">
        <w:rPr>
          <w:color w:val="auto"/>
        </w:rPr>
        <w:t>), Specialization level index d´ (</w:t>
      </w:r>
      <w:proofErr w:type="spellStart"/>
      <w:r w:rsidR="00E142F8" w:rsidRPr="00CF4C2B">
        <w:rPr>
          <w:color w:val="auto"/>
        </w:rPr>
        <w:t>d_metabarcoding</w:t>
      </w:r>
      <w:proofErr w:type="spellEnd"/>
      <w:r w:rsidR="00E142F8" w:rsidRPr="00CF4C2B">
        <w:rPr>
          <w:color w:val="auto"/>
        </w:rPr>
        <w:t xml:space="preserve">), </w:t>
      </w:r>
      <w:proofErr w:type="spellStart"/>
      <w:r w:rsidR="00E142F8" w:rsidRPr="00CF4C2B">
        <w:rPr>
          <w:color w:val="auto"/>
        </w:rPr>
        <w:t>Intertegular</w:t>
      </w:r>
      <w:proofErr w:type="spellEnd"/>
      <w:r w:rsidR="00E142F8" w:rsidRPr="00CF4C2B">
        <w:rPr>
          <w:color w:val="auto"/>
        </w:rPr>
        <w:t xml:space="preserve"> distance (ITD), </w:t>
      </w:r>
    </w:p>
    <w:p w14:paraId="16C69669" w14:textId="130B8777" w:rsidR="00DA0520" w:rsidRDefault="00CF4C2B">
      <w:pPr>
        <w:rPr>
          <w:rFonts w:cstheme="minorHAnsi"/>
          <w:sz w:val="24"/>
          <w:szCs w:val="24"/>
        </w:rPr>
      </w:pPr>
      <w:r>
        <w:rPr>
          <w:noProof/>
        </w:rPr>
        <w:pict w14:anchorId="7E7FF4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93pt;margin-top:1.8pt;width:281.9pt;height:277.5pt;z-index:-251600896;mso-position-horizontal-relative:text;mso-position-vertical-relative:text;mso-width-relative:page;mso-height-relative:page" wrapcoords="-48 0 -48 21551 21600 21551 21600 0 -48 0">
            <v:imagedata r:id="rId5" o:title="Corr matrix Environmental variables"/>
            <w10:wrap type="tight"/>
          </v:shape>
        </w:pict>
      </w:r>
      <w:r w:rsidR="00161B0C">
        <w:rPr>
          <w:rFonts w:cstheme="minorHAnsi"/>
          <w:sz w:val="24"/>
          <w:szCs w:val="24"/>
        </w:rPr>
        <w:t xml:space="preserve">a) </w:t>
      </w:r>
      <w:r w:rsidR="00433A81" w:rsidRPr="00433A81">
        <w:rPr>
          <w:rFonts w:cstheme="minorHAnsi"/>
          <w:sz w:val="24"/>
          <w:szCs w:val="24"/>
        </w:rPr>
        <w:t xml:space="preserve"> </w:t>
      </w:r>
      <w:r w:rsidR="00161B0C">
        <w:rPr>
          <w:rFonts w:cstheme="minorHAnsi"/>
          <w:sz w:val="24"/>
          <w:szCs w:val="24"/>
        </w:rPr>
        <w:t xml:space="preserve">                                                                                             </w:t>
      </w:r>
    </w:p>
    <w:p w14:paraId="1682B417" w14:textId="77777777" w:rsidR="00DA0520" w:rsidRDefault="00DA0520">
      <w:pPr>
        <w:rPr>
          <w:rFonts w:cstheme="minorHAnsi"/>
          <w:sz w:val="24"/>
          <w:szCs w:val="24"/>
        </w:rPr>
      </w:pPr>
    </w:p>
    <w:p w14:paraId="4F5027ED" w14:textId="3BCBC32E" w:rsidR="00DA0520" w:rsidRDefault="00DA0520">
      <w:pPr>
        <w:rPr>
          <w:rFonts w:cstheme="minorHAnsi"/>
          <w:sz w:val="24"/>
          <w:szCs w:val="24"/>
        </w:rPr>
      </w:pPr>
    </w:p>
    <w:p w14:paraId="36F39DB8" w14:textId="77777777" w:rsidR="00DA0520" w:rsidRDefault="00DA0520">
      <w:pPr>
        <w:rPr>
          <w:rFonts w:cstheme="minorHAnsi"/>
          <w:sz w:val="24"/>
          <w:szCs w:val="24"/>
        </w:rPr>
      </w:pPr>
    </w:p>
    <w:p w14:paraId="1C91C64D" w14:textId="77777777" w:rsidR="00DA0520" w:rsidRDefault="00DA0520">
      <w:pPr>
        <w:rPr>
          <w:rFonts w:cstheme="minorHAnsi"/>
          <w:sz w:val="24"/>
          <w:szCs w:val="24"/>
        </w:rPr>
      </w:pPr>
    </w:p>
    <w:p w14:paraId="53E1A958" w14:textId="77777777" w:rsidR="00DA0520" w:rsidRDefault="00DA0520">
      <w:pPr>
        <w:rPr>
          <w:rFonts w:cstheme="minorHAnsi"/>
          <w:sz w:val="24"/>
          <w:szCs w:val="24"/>
        </w:rPr>
      </w:pPr>
    </w:p>
    <w:p w14:paraId="604571B6" w14:textId="77777777" w:rsidR="00DA0520" w:rsidRDefault="00DA0520">
      <w:pPr>
        <w:rPr>
          <w:rFonts w:cstheme="minorHAnsi"/>
          <w:sz w:val="24"/>
          <w:szCs w:val="24"/>
        </w:rPr>
      </w:pPr>
    </w:p>
    <w:p w14:paraId="19C9E83A" w14:textId="77777777" w:rsidR="00DA0520" w:rsidRDefault="00DA0520">
      <w:pPr>
        <w:rPr>
          <w:rFonts w:cstheme="minorHAnsi"/>
          <w:sz w:val="24"/>
          <w:szCs w:val="24"/>
        </w:rPr>
      </w:pPr>
    </w:p>
    <w:p w14:paraId="089970FF" w14:textId="77777777" w:rsidR="00DA0520" w:rsidRDefault="00DA0520">
      <w:pPr>
        <w:rPr>
          <w:rFonts w:cstheme="minorHAnsi"/>
          <w:sz w:val="24"/>
          <w:szCs w:val="24"/>
        </w:rPr>
      </w:pPr>
    </w:p>
    <w:p w14:paraId="25F8FF3D" w14:textId="418A982A" w:rsidR="00DA0520" w:rsidRDefault="00DA0520">
      <w:pPr>
        <w:rPr>
          <w:rFonts w:cstheme="minorHAnsi"/>
          <w:sz w:val="24"/>
          <w:szCs w:val="24"/>
        </w:rPr>
      </w:pPr>
    </w:p>
    <w:p w14:paraId="03971DCA" w14:textId="3C4E85D6" w:rsidR="00DA0520" w:rsidRDefault="00DA0520">
      <w:pPr>
        <w:rPr>
          <w:rFonts w:cstheme="minorHAnsi"/>
          <w:sz w:val="24"/>
          <w:szCs w:val="24"/>
        </w:rPr>
      </w:pPr>
    </w:p>
    <w:p w14:paraId="1CD76DC0" w14:textId="0C21B540" w:rsidR="00DA0520" w:rsidRDefault="00CF4C2B" w:rsidP="008E0060">
      <w:pPr>
        <w:rPr>
          <w:rFonts w:cstheme="minorHAnsi"/>
          <w:sz w:val="24"/>
          <w:szCs w:val="24"/>
        </w:rPr>
      </w:pPr>
      <w:r>
        <w:rPr>
          <w:noProof/>
        </w:rPr>
        <w:pict w14:anchorId="48273DCD">
          <v:shape id="_x0000_s1033" type="#_x0000_t75" alt="" style="position:absolute;margin-left:80.65pt;margin-top:-10.55pt;width:296pt;height:295.15pt;z-index:-251618304;mso-wrap-edited:f" wrapcoords="-54 0 -54 21564 21600 21564 21600 0 -54 0">
            <v:imagedata r:id="rId6" o:title="Correlation matrix traits" croptop="11754f" cropbottom="10224f"/>
            <w10:wrap type="tight"/>
          </v:shape>
        </w:pict>
      </w:r>
    </w:p>
    <w:p w14:paraId="62A23CA6" w14:textId="55EF148B" w:rsidR="008E0060" w:rsidRPr="00DA0520" w:rsidRDefault="00161B0C" w:rsidP="008E0060">
      <w:pPr>
        <w:rPr>
          <w:rFonts w:cstheme="minorHAnsi"/>
          <w:sz w:val="24"/>
          <w:szCs w:val="24"/>
        </w:rPr>
      </w:pPr>
      <w:r>
        <w:rPr>
          <w:rFonts w:cstheme="minorHAnsi"/>
          <w:sz w:val="24"/>
          <w:szCs w:val="24"/>
        </w:rPr>
        <w:t>b)</w:t>
      </w:r>
    </w:p>
    <w:p w14:paraId="160101D5" w14:textId="32449555" w:rsidR="008E0060" w:rsidRDefault="008E0060" w:rsidP="008E0060"/>
    <w:p w14:paraId="5ED94128" w14:textId="77777777" w:rsidR="008E0060" w:rsidRDefault="008E0060" w:rsidP="008E0060"/>
    <w:p w14:paraId="1E3A99A5" w14:textId="4F66CAF8" w:rsidR="008E0060" w:rsidRDefault="008E0060" w:rsidP="008E0060"/>
    <w:p w14:paraId="2ED17267" w14:textId="77777777" w:rsidR="008E0060" w:rsidRDefault="008E0060" w:rsidP="00DA0520"/>
    <w:p w14:paraId="16AD9539" w14:textId="225B8D6F" w:rsidR="008E0060" w:rsidRDefault="008E0060" w:rsidP="00DA0520"/>
    <w:p w14:paraId="2D4DB11E" w14:textId="05BFAA7A" w:rsidR="006E24BE" w:rsidRDefault="006E24BE" w:rsidP="00DA0520"/>
    <w:p w14:paraId="7D5C6B5F" w14:textId="1CFEB8A9" w:rsidR="006E24BE" w:rsidRDefault="006E24BE" w:rsidP="00DA0520"/>
    <w:p w14:paraId="20D16FEF" w14:textId="77777777" w:rsidR="006A1718" w:rsidRDefault="006A1718" w:rsidP="00DA0520"/>
    <w:p w14:paraId="63C4B5DE" w14:textId="77777777" w:rsidR="006A1718" w:rsidRDefault="006A1718" w:rsidP="00DA0520"/>
    <w:p w14:paraId="6F617951" w14:textId="77777777" w:rsidR="006A1718" w:rsidRDefault="006A1718" w:rsidP="00DA0520"/>
    <w:p w14:paraId="5FCE64CD" w14:textId="77777777" w:rsidR="006A1718" w:rsidRDefault="006A1718" w:rsidP="00DA0520"/>
    <w:p w14:paraId="606AA78D" w14:textId="365E35A2" w:rsidR="00ED56E0" w:rsidRPr="00CF4C2B" w:rsidRDefault="00957244" w:rsidP="00ED56E0">
      <w:pPr>
        <w:pStyle w:val="Heading3"/>
        <w:rPr>
          <w:color w:val="auto"/>
        </w:rPr>
      </w:pPr>
      <w:r w:rsidRPr="00CF4C2B">
        <w:rPr>
          <w:color w:val="auto"/>
        </w:rPr>
        <w:t>Figure S3</w:t>
      </w:r>
      <w:r w:rsidR="006E24BE" w:rsidRPr="00CF4C2B">
        <w:rPr>
          <w:color w:val="auto"/>
        </w:rPr>
        <w:t>:</w:t>
      </w:r>
      <w:r w:rsidR="000E779A" w:rsidRPr="00CF4C2B">
        <w:rPr>
          <w:color w:val="auto"/>
        </w:rPr>
        <w:t xml:space="preserve"> Visualization of </w:t>
      </w:r>
      <w:r w:rsidR="00665519" w:rsidRPr="00CF4C2B">
        <w:rPr>
          <w:color w:val="auto"/>
        </w:rPr>
        <w:t>correlation between</w:t>
      </w:r>
      <w:r w:rsidR="000E779A" w:rsidRPr="00CF4C2B">
        <w:rPr>
          <w:color w:val="auto"/>
        </w:rPr>
        <w:t xml:space="preserve"> </w:t>
      </w:r>
      <w:r w:rsidR="001A2F1B" w:rsidRPr="00CF4C2B">
        <w:rPr>
          <w:color w:val="auto"/>
        </w:rPr>
        <w:t>bee species richness, bee d</w:t>
      </w:r>
      <w:r w:rsidR="000E779A" w:rsidRPr="00CF4C2B">
        <w:rPr>
          <w:color w:val="auto"/>
        </w:rPr>
        <w:t>iversity</w:t>
      </w:r>
      <w:r w:rsidR="00665519" w:rsidRPr="00CF4C2B">
        <w:rPr>
          <w:color w:val="auto"/>
        </w:rPr>
        <w:t xml:space="preserve"> and </w:t>
      </w:r>
      <w:r w:rsidR="001A2F1B" w:rsidRPr="00CF4C2B">
        <w:rPr>
          <w:color w:val="auto"/>
        </w:rPr>
        <w:t>landscape heterogeneity</w:t>
      </w:r>
      <w:r w:rsidR="00665519" w:rsidRPr="00CF4C2B">
        <w:rPr>
          <w:color w:val="auto"/>
        </w:rPr>
        <w:t xml:space="preserve"> </w:t>
      </w:r>
      <w:r w:rsidR="001A2F1B" w:rsidRPr="00CF4C2B">
        <w:rPr>
          <w:color w:val="auto"/>
        </w:rPr>
        <w:t>(</w:t>
      </w:r>
      <w:r w:rsidR="00665519" w:rsidRPr="00CF4C2B">
        <w:rPr>
          <w:color w:val="auto"/>
        </w:rPr>
        <w:t>LHI</w:t>
      </w:r>
      <w:r w:rsidR="001A2F1B" w:rsidRPr="00CF4C2B">
        <w:rPr>
          <w:color w:val="auto"/>
        </w:rPr>
        <w:t>)</w:t>
      </w:r>
      <w:r w:rsidR="005D01CC" w:rsidRPr="00CF4C2B">
        <w:rPr>
          <w:color w:val="auto"/>
        </w:rPr>
        <w:t>,</w:t>
      </w:r>
      <w:r w:rsidR="00665519" w:rsidRPr="00CF4C2B">
        <w:rPr>
          <w:color w:val="auto"/>
        </w:rPr>
        <w:t xml:space="preserve"> </w:t>
      </w:r>
      <w:r w:rsidR="001A2F1B" w:rsidRPr="00CF4C2B">
        <w:rPr>
          <w:color w:val="auto"/>
        </w:rPr>
        <w:t xml:space="preserve">pollen </w:t>
      </w:r>
      <w:r w:rsidR="00665519" w:rsidRPr="00CF4C2B">
        <w:rPr>
          <w:color w:val="auto"/>
        </w:rPr>
        <w:t>diversity</w:t>
      </w:r>
      <w:r w:rsidR="005D01CC" w:rsidRPr="00CF4C2B">
        <w:rPr>
          <w:color w:val="auto"/>
        </w:rPr>
        <w:t xml:space="preserve"> and local plant diversity</w:t>
      </w:r>
      <w:r w:rsidR="001A2F1B" w:rsidRPr="00CF4C2B">
        <w:rPr>
          <w:color w:val="auto"/>
        </w:rPr>
        <w:t xml:space="preserve">, </w:t>
      </w:r>
      <w:r w:rsidR="00ED56E0" w:rsidRPr="00CF4C2B">
        <w:rPr>
          <w:color w:val="auto"/>
        </w:rPr>
        <w:t>also separate for each region (</w:t>
      </w:r>
      <w:r w:rsidR="001A2F1B" w:rsidRPr="00CF4C2B">
        <w:rPr>
          <w:color w:val="auto"/>
        </w:rPr>
        <w:t xml:space="preserve">Alb, </w:t>
      </w:r>
      <w:proofErr w:type="spellStart"/>
      <w:r w:rsidR="001A2F1B" w:rsidRPr="00CF4C2B">
        <w:rPr>
          <w:color w:val="auto"/>
        </w:rPr>
        <w:t>Hainich</w:t>
      </w:r>
      <w:proofErr w:type="spellEnd"/>
      <w:r w:rsidR="001A2F1B" w:rsidRPr="00CF4C2B">
        <w:rPr>
          <w:color w:val="auto"/>
        </w:rPr>
        <w:t xml:space="preserve">, </w:t>
      </w:r>
      <w:proofErr w:type="spellStart"/>
      <w:r w:rsidR="001A2F1B" w:rsidRPr="00CF4C2B">
        <w:rPr>
          <w:color w:val="auto"/>
        </w:rPr>
        <w:t>Schorfheide</w:t>
      </w:r>
      <w:proofErr w:type="spellEnd"/>
      <w:r w:rsidR="001A2F1B" w:rsidRPr="00CF4C2B">
        <w:rPr>
          <w:color w:val="auto"/>
        </w:rPr>
        <w:t xml:space="preserve"> and Belgium)</w:t>
      </w:r>
      <w:r w:rsidR="000E779A" w:rsidRPr="00CF4C2B">
        <w:rPr>
          <w:color w:val="auto"/>
        </w:rPr>
        <w:t xml:space="preserve">. </w:t>
      </w:r>
    </w:p>
    <w:p w14:paraId="0C4F589A" w14:textId="76AAACA7" w:rsidR="000E779A" w:rsidRPr="00CF4C2B" w:rsidRDefault="00E142F8" w:rsidP="00ED56E0">
      <w:pPr>
        <w:pStyle w:val="Heading3"/>
        <w:rPr>
          <w:color w:val="auto"/>
        </w:rPr>
      </w:pPr>
      <w:r w:rsidRPr="00CF4C2B">
        <w:rPr>
          <w:color w:val="auto"/>
        </w:rPr>
        <w:t xml:space="preserve">Landscape heterogeneity index (LHI) (blue, green, yellow, from less to more diverse landscape); </w:t>
      </w:r>
      <w:proofErr w:type="spellStart"/>
      <w:r w:rsidRPr="00CF4C2B">
        <w:rPr>
          <w:color w:val="auto"/>
        </w:rPr>
        <w:t>Exploratories</w:t>
      </w:r>
      <w:proofErr w:type="spellEnd"/>
      <w:r w:rsidRPr="00CF4C2B">
        <w:rPr>
          <w:color w:val="auto"/>
        </w:rPr>
        <w:t xml:space="preserve">: Alb (red), Belgium (green), </w:t>
      </w:r>
      <w:proofErr w:type="spellStart"/>
      <w:r w:rsidRPr="00CF4C2B">
        <w:rPr>
          <w:color w:val="auto"/>
        </w:rPr>
        <w:t>Hainich</w:t>
      </w:r>
      <w:proofErr w:type="spellEnd"/>
      <w:r w:rsidRPr="00CF4C2B">
        <w:rPr>
          <w:color w:val="auto"/>
        </w:rPr>
        <w:t xml:space="preserve"> (blue), </w:t>
      </w:r>
      <w:proofErr w:type="spellStart"/>
      <w:r w:rsidRPr="00CF4C2B">
        <w:rPr>
          <w:color w:val="auto"/>
        </w:rPr>
        <w:t>Schorfheide</w:t>
      </w:r>
      <w:proofErr w:type="spellEnd"/>
      <w:r w:rsidRPr="00CF4C2B">
        <w:rPr>
          <w:color w:val="auto"/>
        </w:rPr>
        <w:t xml:space="preserve"> (violet). </w:t>
      </w:r>
    </w:p>
    <w:p w14:paraId="2A201196" w14:textId="77777777" w:rsidR="00E142F8" w:rsidRPr="00CF4C2B" w:rsidRDefault="00E142F8" w:rsidP="00E142F8"/>
    <w:p w14:paraId="4A528C85" w14:textId="1C8F25F8" w:rsidR="00C53822" w:rsidRPr="00CF4C2B" w:rsidRDefault="00265E55" w:rsidP="00ED56E0">
      <w:pPr>
        <w:pStyle w:val="Heading3"/>
        <w:rPr>
          <w:color w:val="auto"/>
        </w:rPr>
      </w:pPr>
      <w:r w:rsidRPr="00CF4C2B">
        <w:rPr>
          <w:color w:val="auto"/>
        </w:rPr>
        <w:t xml:space="preserve">a) Bee </w:t>
      </w:r>
      <w:r w:rsidR="001A2F1B" w:rsidRPr="00CF4C2B">
        <w:rPr>
          <w:color w:val="auto"/>
        </w:rPr>
        <w:t>s</w:t>
      </w:r>
      <w:r w:rsidRPr="00CF4C2B">
        <w:rPr>
          <w:color w:val="auto"/>
        </w:rPr>
        <w:t xml:space="preserve">pecies </w:t>
      </w:r>
      <w:r w:rsidR="001A2F1B" w:rsidRPr="00CF4C2B">
        <w:rPr>
          <w:color w:val="auto"/>
        </w:rPr>
        <w:t xml:space="preserve">richness </w:t>
      </w:r>
      <w:r w:rsidRPr="00CF4C2B">
        <w:rPr>
          <w:color w:val="auto"/>
        </w:rPr>
        <w:t xml:space="preserve">vs. </w:t>
      </w:r>
      <w:r w:rsidR="00842E14" w:rsidRPr="00CF4C2B">
        <w:rPr>
          <w:color w:val="auto"/>
        </w:rPr>
        <w:t>LHI</w:t>
      </w:r>
      <w:r w:rsidR="00CF4C2B" w:rsidRPr="00CF4C2B">
        <w:rPr>
          <w:noProof/>
          <w:color w:val="auto"/>
        </w:rPr>
        <w:pict w14:anchorId="3132BCC0">
          <v:shape id="_x0000_s1041" type="#_x0000_t75" style="position:absolute;margin-left:266.65pt;margin-top:25.25pt;width:263.6pt;height:185.95pt;z-index:-251592704;mso-position-horizontal-relative:text;mso-position-vertical-relative:text;mso-width-relative:page;mso-height-relative:page" wrapcoords="-43 0 -43 21539 21600 21539 21600 0 -43 0">
            <v:imagedata r:id="rId7" o:title="Bee Richness vs LHI per explo"/>
            <w10:wrap type="tight"/>
          </v:shape>
        </w:pict>
      </w:r>
    </w:p>
    <w:p w14:paraId="37161CD5" w14:textId="184D2E04" w:rsidR="00403804" w:rsidRDefault="00CF4C2B" w:rsidP="00DA57E4">
      <w:pPr>
        <w:pStyle w:val="Tableheading"/>
      </w:pPr>
      <w:r>
        <w:rPr>
          <w:noProof/>
        </w:rPr>
        <w:pict w14:anchorId="336DC923">
          <v:shape id="_x0000_s1047" type="#_x0000_t75" style="position:absolute;margin-left:6.75pt;margin-top:7.4pt;width:239.25pt;height:182.65pt;z-index:-251580416;mso-position-horizontal-relative:text;mso-position-vertical-relative:text;mso-width-relative:page;mso-height-relative:page" wrapcoords="-47 0 -47 21539 21600 21539 21600 0 -47 0">
            <v:imagedata r:id="rId8" o:title="Bee richness vs LHI"/>
            <w10:wrap type="tight"/>
          </v:shape>
        </w:pict>
      </w:r>
    </w:p>
    <w:p w14:paraId="16A7AC80" w14:textId="575B878D" w:rsidR="00265E55" w:rsidRPr="00CF4C2B" w:rsidRDefault="00CF4C2B" w:rsidP="004B775D">
      <w:pPr>
        <w:pStyle w:val="Heading3"/>
        <w:rPr>
          <w:color w:val="auto"/>
        </w:rPr>
      </w:pPr>
      <w:r w:rsidRPr="00CF4C2B">
        <w:rPr>
          <w:noProof/>
          <w:color w:val="auto"/>
        </w:rPr>
        <w:pict w14:anchorId="436F5404">
          <v:shape id="_x0000_s1048" type="#_x0000_t75" style="position:absolute;margin-left:3.75pt;margin-top:21.8pt;width:250.45pt;height:191.25pt;z-index:-251578368;mso-position-horizontal-relative:text;mso-position-vertical-relative:text;mso-width-relative:page;mso-height-relative:page" wrapcoords="-47 0 -47 21539 21600 21539 21600 0 -47 0">
            <v:imagedata r:id="rId9" o:title="Bee diversity vs LHI"/>
            <w10:wrap type="tight"/>
          </v:shape>
        </w:pict>
      </w:r>
      <w:r w:rsidR="00E81474" w:rsidRPr="00CF4C2B">
        <w:rPr>
          <w:color w:val="auto"/>
        </w:rPr>
        <w:t>b</w:t>
      </w:r>
      <w:r w:rsidR="00265E55" w:rsidRPr="00CF4C2B">
        <w:rPr>
          <w:color w:val="auto"/>
        </w:rPr>
        <w:t>)</w:t>
      </w:r>
      <w:r w:rsidR="007B731D" w:rsidRPr="00CF4C2B">
        <w:rPr>
          <w:color w:val="auto"/>
        </w:rPr>
        <w:t xml:space="preserve"> Bee </w:t>
      </w:r>
      <w:r w:rsidR="001A2F1B" w:rsidRPr="00CF4C2B">
        <w:rPr>
          <w:color w:val="auto"/>
        </w:rPr>
        <w:t>d</w:t>
      </w:r>
      <w:r w:rsidR="007B731D" w:rsidRPr="00CF4C2B">
        <w:rPr>
          <w:color w:val="auto"/>
        </w:rPr>
        <w:t xml:space="preserve">iversity (Shannon) vs. </w:t>
      </w:r>
      <w:r w:rsidR="00665519" w:rsidRPr="00CF4C2B">
        <w:rPr>
          <w:color w:val="auto"/>
        </w:rPr>
        <w:t>LHI</w:t>
      </w:r>
      <w:r w:rsidR="00265E55" w:rsidRPr="00CF4C2B">
        <w:rPr>
          <w:color w:val="auto"/>
        </w:rPr>
        <w:t xml:space="preserve"> </w:t>
      </w:r>
    </w:p>
    <w:p w14:paraId="2B342C86" w14:textId="30E17452" w:rsidR="00664255" w:rsidRDefault="00CF4C2B" w:rsidP="00664255">
      <w:r>
        <w:rPr>
          <w:noProof/>
        </w:rPr>
        <w:pict w14:anchorId="08433D22">
          <v:shape id="_x0000_s1042" type="#_x0000_t75" style="position:absolute;margin-left:261.75pt;margin-top:12.25pt;width:248.85pt;height:190pt;z-index:-251590656;mso-position-horizontal-relative:text;mso-position-vertical-relative:text;mso-width-relative:page;mso-height-relative:page" wrapcoords="-47 0 -47 21539 21600 21539 21600 0 -47 0">
            <v:imagedata r:id="rId10" o:title="Bee diversity vs LHI per explo"/>
            <w10:wrap type="tight"/>
          </v:shape>
        </w:pict>
      </w:r>
    </w:p>
    <w:p w14:paraId="482322D8" w14:textId="114358C9" w:rsidR="00664255" w:rsidRDefault="00664255" w:rsidP="00664255">
      <w:pPr>
        <w:pStyle w:val="Heading3"/>
      </w:pPr>
    </w:p>
    <w:p w14:paraId="5FB1CF84" w14:textId="4372D325" w:rsidR="00664255" w:rsidRDefault="00664255" w:rsidP="00664255"/>
    <w:p w14:paraId="39915B81" w14:textId="3CFF13FC" w:rsidR="00414EDB" w:rsidRPr="00CF4C2B" w:rsidRDefault="00E81474" w:rsidP="00664255">
      <w:pPr>
        <w:pStyle w:val="Heading3"/>
        <w:rPr>
          <w:color w:val="auto"/>
        </w:rPr>
      </w:pPr>
      <w:r w:rsidRPr="00CF4C2B">
        <w:rPr>
          <w:color w:val="auto"/>
        </w:rPr>
        <w:lastRenderedPageBreak/>
        <w:t>c) Pollen diversity vs</w:t>
      </w:r>
      <w:r w:rsidR="00535DBF" w:rsidRPr="00CF4C2B">
        <w:rPr>
          <w:color w:val="auto"/>
        </w:rPr>
        <w:t>.</w:t>
      </w:r>
      <w:r w:rsidRPr="00CF4C2B">
        <w:rPr>
          <w:color w:val="auto"/>
        </w:rPr>
        <w:t xml:space="preserve"> LHI</w:t>
      </w:r>
    </w:p>
    <w:p w14:paraId="078927C4" w14:textId="744D1FCC" w:rsidR="00535DBF" w:rsidRDefault="00CF4C2B" w:rsidP="00664255">
      <w:r>
        <w:rPr>
          <w:noProof/>
        </w:rPr>
        <w:pict w14:anchorId="2246F595">
          <v:shape id="_x0000_s1049" type="#_x0000_t75" style="position:absolute;margin-left:0;margin-top:3pt;width:246.75pt;height:188.4pt;z-index:-251576320;mso-position-horizontal-relative:text;mso-position-vertical-relative:text;mso-width-relative:page;mso-height-relative:page" wrapcoords="-47 0 -47 21539 21600 21539 21600 0 -47 0">
            <v:imagedata r:id="rId11" o:title="Pollen diversity vs LHI"/>
            <w10:wrap type="tight"/>
          </v:shape>
        </w:pict>
      </w:r>
      <w:r>
        <w:rPr>
          <w:noProof/>
        </w:rPr>
        <w:pict w14:anchorId="49C58DB9">
          <v:shape id="_x0000_s1038" type="#_x0000_t75" style="position:absolute;margin-left:249.75pt;margin-top:3pt;width:264pt;height:186pt;z-index:-251598848;mso-position-horizontal-relative:text;mso-position-vertical-relative:text;mso-width-relative:page;mso-height-relative:page" wrapcoords="-61 0 -61 21513 21600 21513 21600 0 -61 0">
            <v:imagedata r:id="rId12" o:title="Pollen diversity vs LHI per explo"/>
            <w10:wrap type="tight"/>
          </v:shape>
        </w:pict>
      </w:r>
    </w:p>
    <w:p w14:paraId="00592E13" w14:textId="22CFA537" w:rsidR="00535DBF" w:rsidRPr="00CF4C2B" w:rsidRDefault="00CF4C2B" w:rsidP="00535DBF">
      <w:pPr>
        <w:pStyle w:val="Heading3"/>
        <w:rPr>
          <w:color w:val="auto"/>
        </w:rPr>
      </w:pPr>
      <w:r w:rsidRPr="00CF4C2B">
        <w:rPr>
          <w:noProof/>
          <w:color w:val="auto"/>
        </w:rPr>
        <w:pict w14:anchorId="0BD611FB">
          <v:shape id="_x0000_s1058" type="#_x0000_t75" style="position:absolute;margin-left:-19.8pt;margin-top:30pt;width:257.65pt;height:196.8pt;z-index:-251561984;mso-position-horizontal-relative:text;mso-position-vertical-relative:text;mso-width-relative:page;mso-height-relative:page" wrapcoords="-47 0 -47 21539 21600 21539 21600 0 -47 0">
            <v:imagedata r:id="rId13" o:title="Pollen diversity vs plant diversity alone"/>
            <w10:wrap type="tight"/>
          </v:shape>
        </w:pict>
      </w:r>
      <w:r w:rsidRPr="00CF4C2B">
        <w:rPr>
          <w:noProof/>
          <w:color w:val="auto"/>
        </w:rPr>
        <w:pict w14:anchorId="2DEDC3FF">
          <v:shape id="_x0000_s1046" type="#_x0000_t75" style="position:absolute;margin-left:252.65pt;margin-top:27.65pt;width:269.35pt;height:205.65pt;z-index:-251582464;mso-position-horizontal-relative:text;mso-position-vertical-relative:text;mso-width-relative:page;mso-height-relative:page" wrapcoords="-47 0 -47 21539 21600 21539 21600 0 -47 0">
            <v:imagedata r:id="rId14" o:title="Pollen diversity vs Plant diversity"/>
            <w10:wrap type="tight"/>
          </v:shape>
        </w:pict>
      </w:r>
      <w:r w:rsidR="00535DBF" w:rsidRPr="00CF4C2B">
        <w:rPr>
          <w:color w:val="auto"/>
        </w:rPr>
        <w:t xml:space="preserve">d) Pollen diversity vs. </w:t>
      </w:r>
      <w:r w:rsidR="005D01CC" w:rsidRPr="00CF4C2B">
        <w:rPr>
          <w:color w:val="auto"/>
        </w:rPr>
        <w:t xml:space="preserve">plant </w:t>
      </w:r>
      <w:r w:rsidR="00535DBF" w:rsidRPr="00CF4C2B">
        <w:rPr>
          <w:color w:val="auto"/>
        </w:rPr>
        <w:t>diversity</w:t>
      </w:r>
    </w:p>
    <w:p w14:paraId="009CDE99" w14:textId="1B298492" w:rsidR="00665519" w:rsidRDefault="00665519">
      <w:pPr>
        <w:rPr>
          <w:noProof/>
        </w:rPr>
      </w:pPr>
    </w:p>
    <w:p w14:paraId="2B89F80F" w14:textId="77777777" w:rsidR="00665519" w:rsidRDefault="00665519">
      <w:pPr>
        <w:rPr>
          <w:b/>
        </w:rPr>
      </w:pPr>
    </w:p>
    <w:p w14:paraId="4B8D932D" w14:textId="3AF5EFD0" w:rsidR="004B775D" w:rsidRDefault="004B775D" w:rsidP="00DA57E4">
      <w:pPr>
        <w:pStyle w:val="Tableheading"/>
        <w:rPr>
          <w:rStyle w:val="Heading3Char"/>
        </w:rPr>
      </w:pPr>
    </w:p>
    <w:p w14:paraId="07FDC79F" w14:textId="2DDFE186" w:rsidR="00C6503A" w:rsidRDefault="00C6503A" w:rsidP="00DA57E4">
      <w:pPr>
        <w:pStyle w:val="Tableheading"/>
        <w:rPr>
          <w:rStyle w:val="Heading3Char"/>
        </w:rPr>
      </w:pPr>
    </w:p>
    <w:p w14:paraId="00DBA574" w14:textId="05670978" w:rsidR="00C6503A" w:rsidRDefault="00C6503A" w:rsidP="00DA57E4">
      <w:pPr>
        <w:pStyle w:val="Tableheading"/>
        <w:rPr>
          <w:rStyle w:val="Heading3Char"/>
        </w:rPr>
      </w:pPr>
    </w:p>
    <w:p w14:paraId="5CE2E828" w14:textId="07F12846" w:rsidR="00C6503A" w:rsidRDefault="00C6503A" w:rsidP="00DA57E4">
      <w:pPr>
        <w:pStyle w:val="Tableheading"/>
        <w:rPr>
          <w:rStyle w:val="Heading3Char"/>
        </w:rPr>
      </w:pPr>
    </w:p>
    <w:p w14:paraId="49A2C292" w14:textId="040F3D46" w:rsidR="00C6503A" w:rsidRDefault="00C6503A" w:rsidP="00DA57E4">
      <w:pPr>
        <w:pStyle w:val="Tableheading"/>
        <w:rPr>
          <w:rStyle w:val="Heading3Char"/>
        </w:rPr>
      </w:pPr>
    </w:p>
    <w:p w14:paraId="265F67DD" w14:textId="573C58B3" w:rsidR="005D01CC" w:rsidRDefault="005D01CC">
      <w:pPr>
        <w:rPr>
          <w:rStyle w:val="Heading3Char"/>
        </w:rPr>
      </w:pPr>
    </w:p>
    <w:p w14:paraId="4123A47E" w14:textId="77777777" w:rsidR="00ED56E0" w:rsidRDefault="00ED56E0">
      <w:pPr>
        <w:rPr>
          <w:rStyle w:val="Heading3Char"/>
        </w:rPr>
      </w:pPr>
    </w:p>
    <w:p w14:paraId="6034F1CE" w14:textId="750972AC" w:rsidR="004B775D" w:rsidRPr="00CF4C2B" w:rsidRDefault="00957244" w:rsidP="004B775D">
      <w:pPr>
        <w:pStyle w:val="Heading2"/>
        <w:rPr>
          <w:color w:val="auto"/>
        </w:rPr>
      </w:pPr>
      <w:r w:rsidRPr="00CF4C2B">
        <w:rPr>
          <w:rStyle w:val="Heading3Char"/>
          <w:color w:val="auto"/>
        </w:rPr>
        <w:lastRenderedPageBreak/>
        <w:t>Figure S4</w:t>
      </w:r>
      <w:r w:rsidR="00432AC2" w:rsidRPr="00CF4C2B">
        <w:rPr>
          <w:rStyle w:val="Heading3Char"/>
          <w:color w:val="auto"/>
        </w:rPr>
        <w:t xml:space="preserve">: </w:t>
      </w:r>
      <w:r w:rsidR="00414EDB" w:rsidRPr="00CF4C2B">
        <w:rPr>
          <w:rStyle w:val="Heading3Char"/>
          <w:color w:val="auto"/>
        </w:rPr>
        <w:t>Heatmap of Spearman correlations between abundance of species and different environmental variables</w:t>
      </w:r>
      <w:r w:rsidR="00414EDB" w:rsidRPr="00CF4C2B">
        <w:rPr>
          <w:color w:val="auto"/>
        </w:rPr>
        <w:t xml:space="preserve">. </w:t>
      </w:r>
      <w:r w:rsidR="008E2302" w:rsidRPr="00CF4C2B">
        <w:rPr>
          <w:rStyle w:val="Heading3Char"/>
          <w:color w:val="auto"/>
        </w:rPr>
        <w:t xml:space="preserve">Landscape heterogeneity index (LHI), Land use intensity index (LUI). </w:t>
      </w:r>
    </w:p>
    <w:p w14:paraId="0AD0927F" w14:textId="6C5C496D" w:rsidR="00414EDB" w:rsidRDefault="00414EDB" w:rsidP="00DA57E4">
      <w:pPr>
        <w:pStyle w:val="Tableheading"/>
        <w:rPr>
          <w:b w:val="0"/>
        </w:rPr>
      </w:pPr>
      <w:r w:rsidRPr="00C53822">
        <w:rPr>
          <w:b w:val="0"/>
        </w:rPr>
        <w:t xml:space="preserve">Red: negative correlation, White: no correlation, </w:t>
      </w:r>
      <w:r w:rsidR="00A61AAC">
        <w:rPr>
          <w:b w:val="0"/>
        </w:rPr>
        <w:t>Blue</w:t>
      </w:r>
      <w:r w:rsidRPr="00C53822">
        <w:rPr>
          <w:b w:val="0"/>
        </w:rPr>
        <w:t>: positive correla</w:t>
      </w:r>
      <w:r w:rsidR="00C6503A">
        <w:rPr>
          <w:b w:val="0"/>
        </w:rPr>
        <w:t>tion</w:t>
      </w:r>
      <w:r w:rsidR="00C53822">
        <w:rPr>
          <w:b w:val="0"/>
        </w:rPr>
        <w:t>.</w:t>
      </w:r>
      <w:r w:rsidRPr="00C53822">
        <w:rPr>
          <w:b w:val="0"/>
        </w:rPr>
        <w:t xml:space="preserve"> </w:t>
      </w:r>
      <w:r w:rsidR="00A61AAC" w:rsidRPr="00A61AAC">
        <w:rPr>
          <w:b w:val="0"/>
          <w:bCs/>
        </w:rPr>
        <w:t>Species names not in italic so as not to alter original graph (R Software).</w:t>
      </w:r>
    </w:p>
    <w:p w14:paraId="12D48B65" w14:textId="56B6A895" w:rsidR="00682C35" w:rsidRDefault="00C6503A" w:rsidP="00DA57E4">
      <w:pPr>
        <w:pStyle w:val="Tableheading"/>
      </w:pPr>
      <w:r>
        <w:rPr>
          <w:noProof/>
        </w:rPr>
        <mc:AlternateContent>
          <mc:Choice Requires="wps">
            <w:drawing>
              <wp:anchor distT="45720" distB="45720" distL="114300" distR="114300" simplePos="0" relativeHeight="251697151" behindDoc="0" locked="0" layoutInCell="1" allowOverlap="1" wp14:anchorId="00B0A295" wp14:editId="6E4FC206">
                <wp:simplePos x="0" y="0"/>
                <wp:positionH relativeFrom="margin">
                  <wp:posOffset>177800</wp:posOffset>
                </wp:positionH>
                <wp:positionV relativeFrom="paragraph">
                  <wp:posOffset>153035</wp:posOffset>
                </wp:positionV>
                <wp:extent cx="4675505" cy="3810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505" cy="381000"/>
                        </a:xfrm>
                        <a:prstGeom prst="rect">
                          <a:avLst/>
                        </a:prstGeom>
                        <a:solidFill>
                          <a:srgbClr val="FFFFFF"/>
                        </a:solidFill>
                        <a:ln w="9525">
                          <a:noFill/>
                          <a:miter lim="800000"/>
                          <a:headEnd/>
                          <a:tailEnd/>
                        </a:ln>
                      </wps:spPr>
                      <wps:txbx>
                        <w:txbxContent>
                          <w:p w14:paraId="4F6FDCE5" w14:textId="44DA79A1" w:rsidR="00E142F8" w:rsidRDefault="00E142F8">
                            <w:r>
                              <w:t xml:space="preserve">             LHI                              </w:t>
                            </w:r>
                            <w:r w:rsidR="00A61AAC">
                              <w:t xml:space="preserve">             </w:t>
                            </w:r>
                            <w:r>
                              <w:t xml:space="preserve"> LUI                     </w:t>
                            </w:r>
                            <w:r w:rsidR="00A61AAC">
                              <w:t xml:space="preserve">    </w:t>
                            </w:r>
                            <w:r>
                              <w:t xml:space="preserve">      Plant diversity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B0A295" id="_x0000_t202" coordsize="21600,21600" o:spt="202" path="m,l,21600r21600,l21600,xe">
                <v:stroke joinstyle="miter"/>
                <v:path gradientshapeok="t" o:connecttype="rect"/>
              </v:shapetype>
              <v:shape id="Text Box 2" o:spid="_x0000_s1026" type="#_x0000_t202" style="position:absolute;margin-left:14pt;margin-top:12.05pt;width:368.15pt;height:30pt;z-index:2516971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" stroked="f">
                <v:textbox>
                  <w:txbxContent>
                    <w:p w14:paraId="4F6FDCE5" w14:textId="44DA79A1" w:rsidR="00E142F8" w:rsidRDefault="00E142F8">
                      <w:r>
                        <w:t xml:space="preserve">             LHI                              </w:t>
                      </w:r>
                      <w:r w:rsidR="00A61AAC">
                        <w:t xml:space="preserve">             </w:t>
                      </w:r>
                      <w:r>
                        <w:t xml:space="preserve"> LUI                     </w:t>
                      </w:r>
                      <w:r w:rsidR="00A61AAC">
                        <w:t xml:space="preserve">    </w:t>
                      </w:r>
                      <w:r>
                        <w:t xml:space="preserve">      Plant diversity</w:t>
                      </w:r>
                    </w:p>
                  </w:txbxContent>
                </v:textbox>
                <w10:wrap type="square" anchorx="margin"/>
              </v:shape>
            </w:pict>
          </mc:Fallback>
        </mc:AlternateContent>
      </w:r>
    </w:p>
    <w:p w14:paraId="7D6BB030" w14:textId="374A9BAC" w:rsidR="00682C35" w:rsidRDefault="00A61AAC" w:rsidP="00DA57E4">
      <w:pPr>
        <w:pStyle w:val="Tableheading"/>
      </w:pPr>
      <w:r>
        <w:rPr>
          <w:noProof/>
        </w:rPr>
        <w:drawing>
          <wp:anchor distT="0" distB="0" distL="114300" distR="114300" simplePos="0" relativeHeight="251765760" behindDoc="1" locked="0" layoutInCell="1" allowOverlap="1" wp14:anchorId="222504E9" wp14:editId="133CA780">
            <wp:simplePos x="0" y="0"/>
            <wp:positionH relativeFrom="page">
              <wp:posOffset>563245</wp:posOffset>
            </wp:positionH>
            <wp:positionV relativeFrom="paragraph">
              <wp:posOffset>553085</wp:posOffset>
            </wp:positionV>
            <wp:extent cx="6654165" cy="5939155"/>
            <wp:effectExtent l="0" t="4445" r="8890" b="8890"/>
            <wp:wrapTight wrapText="bothSides">
              <wp:wrapPolygon edited="0">
                <wp:start x="21614" y="16"/>
                <wp:lineTo x="33" y="16"/>
                <wp:lineTo x="33" y="21563"/>
                <wp:lineTo x="21614" y="21563"/>
                <wp:lineTo x="21614" y="16"/>
              </wp:wrapPolygon>
            </wp:wrapTight>
            <wp:docPr id="5721843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a:extLst>
                        <a:ext uri="{28A0092B-C50C-407E-A947-70E740481C1C}">
                          <a14:useLocalDpi xmlns:a14="http://schemas.microsoft.com/office/drawing/2010/main" val="0"/>
                        </a:ext>
                      </a:extLst>
                    </a:blip>
                    <a:srcRect t="2876" r="22888" b="-479"/>
                    <a:stretch/>
                  </pic:blipFill>
                  <pic:spPr bwMode="auto">
                    <a:xfrm rot="16200000">
                      <a:off x="0" y="0"/>
                      <a:ext cx="6654165" cy="5939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622231" w14:textId="4EE796D3" w:rsidR="00C6503A" w:rsidRDefault="00C6503A" w:rsidP="00A61AAC">
      <w:pPr>
        <w:pStyle w:val="Tableheading"/>
      </w:pPr>
      <w:r>
        <w:rPr>
          <w:noProof/>
        </w:rPr>
        <w:drawing>
          <wp:anchor distT="0" distB="0" distL="114300" distR="114300" simplePos="0" relativeHeight="251745280" behindDoc="1" locked="0" layoutInCell="1" allowOverlap="1" wp14:anchorId="5B4A9957" wp14:editId="12B6D287">
            <wp:simplePos x="0" y="0"/>
            <wp:positionH relativeFrom="margin">
              <wp:posOffset>161925</wp:posOffset>
            </wp:positionH>
            <wp:positionV relativeFrom="paragraph">
              <wp:posOffset>705485</wp:posOffset>
            </wp:positionV>
            <wp:extent cx="461645" cy="1492250"/>
            <wp:effectExtent l="0" t="0" r="0" b="0"/>
            <wp:wrapTight wrapText="bothSides">
              <wp:wrapPolygon edited="0">
                <wp:start x="0" y="0"/>
                <wp:lineTo x="0" y="21232"/>
                <wp:lineTo x="20501" y="21232"/>
                <wp:lineTo x="20501" y="0"/>
                <wp:lineTo x="0" y="0"/>
              </wp:wrapPolygon>
            </wp:wrapTight>
            <wp:docPr id="2" name="Picture 2" descr="C:\Users\ge37fup\AppData\Local\Microsoft\Windows\INetCache\Content.Word\heatma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ge37fup\AppData\Local\Microsoft\Windows\INetCache\Content.Word\heatmap1.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94544" t="2892" r="-154" b="69886"/>
                    <a:stretch/>
                  </pic:blipFill>
                  <pic:spPr bwMode="auto">
                    <a:xfrm>
                      <a:off x="0" y="0"/>
                      <a:ext cx="461645" cy="1492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27A00F" w14:textId="74CAE239" w:rsidR="00C6503A" w:rsidRDefault="00C6503A" w:rsidP="00BC2BC3"/>
    <w:p w14:paraId="52A034F7" w14:textId="77777777" w:rsidR="00A61AAC" w:rsidRPr="00CF4C2B" w:rsidRDefault="00F34BCA" w:rsidP="00ED56E0">
      <w:pPr>
        <w:pStyle w:val="Heading3"/>
        <w:rPr>
          <w:color w:val="auto"/>
        </w:rPr>
      </w:pPr>
      <w:r w:rsidRPr="00CF4C2B">
        <w:rPr>
          <w:color w:val="auto"/>
        </w:rPr>
        <w:t xml:space="preserve">Figure S5: Cluster </w:t>
      </w:r>
      <w:proofErr w:type="spellStart"/>
      <w:r w:rsidRPr="00CF4C2B">
        <w:rPr>
          <w:color w:val="auto"/>
        </w:rPr>
        <w:t>dendogram</w:t>
      </w:r>
      <w:proofErr w:type="spellEnd"/>
      <w:r w:rsidRPr="00CF4C2B">
        <w:rPr>
          <w:color w:val="auto"/>
        </w:rPr>
        <w:t xml:space="preserve"> of species based on functional traits (average female size and specialization </w:t>
      </w:r>
      <w:r w:rsidR="00ED56E0" w:rsidRPr="00CF4C2B">
        <w:rPr>
          <w:color w:val="auto"/>
        </w:rPr>
        <w:t xml:space="preserve">level </w:t>
      </w:r>
      <w:r w:rsidRPr="00CF4C2B">
        <w:rPr>
          <w:color w:val="auto"/>
        </w:rPr>
        <w:t>d´)</w:t>
      </w:r>
      <w:r w:rsidR="00ED56E0" w:rsidRPr="00CF4C2B">
        <w:rPr>
          <w:color w:val="auto"/>
        </w:rPr>
        <w:t xml:space="preserve">. </w:t>
      </w:r>
    </w:p>
    <w:p w14:paraId="3FC58D2E" w14:textId="7A1D90B1" w:rsidR="004753A7" w:rsidRPr="00A61AAC" w:rsidRDefault="00A61AAC" w:rsidP="00BC2BC3">
      <w:r w:rsidRPr="00A61AAC">
        <w:t>Species names not in italic so as not to alter original graph (R Software).</w:t>
      </w:r>
      <w:r w:rsidR="00CF4C2B">
        <w:rPr>
          <w:noProof/>
        </w:rPr>
        <w:pict w14:anchorId="54613906">
          <v:shape id="_x0000_s1054" type="#_x0000_t75" style="position:absolute;margin-left:147pt;margin-top:13.5pt;width:291.15pt;height:450pt;z-index:-251568128;mso-position-horizontal-relative:text;mso-position-vertical-relative:text" wrapcoords="0 0 0 21538 21600 21538 21600 0 0 0">
            <v:imagedata r:id="rId17" o:title="cluster" cropright="8520f"/>
            <w10:wrap type="tight"/>
          </v:shape>
        </w:pict>
      </w:r>
    </w:p>
    <w:p w14:paraId="4A2FC783" w14:textId="77777777" w:rsidR="00CB020D" w:rsidRDefault="00CB020D" w:rsidP="004B775D">
      <w:pPr>
        <w:pStyle w:val="Heading2"/>
      </w:pPr>
    </w:p>
    <w:p w14:paraId="3DAE6685" w14:textId="60522165" w:rsidR="00CB020D" w:rsidRDefault="00CB020D" w:rsidP="004B775D">
      <w:pPr>
        <w:pStyle w:val="Heading2"/>
      </w:pPr>
    </w:p>
    <w:p w14:paraId="49D80D3C" w14:textId="0080A612" w:rsidR="00CB020D" w:rsidRDefault="00CB020D" w:rsidP="00CB020D"/>
    <w:p w14:paraId="626FA9E6" w14:textId="70D5C095" w:rsidR="00CB020D" w:rsidRDefault="00CB020D" w:rsidP="00CB020D"/>
    <w:p w14:paraId="534A0C3D" w14:textId="5AC46097" w:rsidR="00CB020D" w:rsidRDefault="00CB020D" w:rsidP="00CB020D"/>
    <w:p w14:paraId="3ABA784B" w14:textId="1EA59D41" w:rsidR="00CB020D" w:rsidRDefault="00CB020D" w:rsidP="00CB020D"/>
    <w:p w14:paraId="528E8F71" w14:textId="4221D12B" w:rsidR="00CB020D" w:rsidRDefault="00CB020D" w:rsidP="00CB020D"/>
    <w:p w14:paraId="266246C6" w14:textId="2341DFD7" w:rsidR="00CB020D" w:rsidRDefault="00CB020D" w:rsidP="00CB020D"/>
    <w:p w14:paraId="313500A4" w14:textId="59665CA2" w:rsidR="00CB020D" w:rsidRDefault="00CB020D" w:rsidP="00CB020D"/>
    <w:p w14:paraId="46FC9083" w14:textId="6240CD60" w:rsidR="00CB020D" w:rsidRDefault="00CB020D" w:rsidP="00CB020D"/>
    <w:p w14:paraId="6B13C945" w14:textId="711D3D65" w:rsidR="00CB020D" w:rsidRDefault="00CB020D" w:rsidP="00CB020D"/>
    <w:p w14:paraId="09C94A19" w14:textId="77777777" w:rsidR="00CB020D" w:rsidRPr="00CB020D" w:rsidRDefault="00CB020D" w:rsidP="00CB020D"/>
    <w:p w14:paraId="6621FB60" w14:textId="77777777" w:rsidR="005D01CC" w:rsidRDefault="005D01CC">
      <w:pPr>
        <w:rPr>
          <w:rFonts w:asciiTheme="majorHAnsi" w:eastAsiaTheme="majorEastAsia" w:hAnsiTheme="majorHAnsi" w:cstheme="majorBidi"/>
          <w:color w:val="2E74B5" w:themeColor="accent1" w:themeShade="BF"/>
          <w:sz w:val="26"/>
          <w:szCs w:val="26"/>
        </w:rPr>
      </w:pPr>
      <w:r>
        <w:br w:type="page"/>
      </w:r>
    </w:p>
    <w:p w14:paraId="5BF53A49" w14:textId="78CE7966" w:rsidR="00ED56E0" w:rsidRPr="00CF4C2B" w:rsidRDefault="00F34BCA" w:rsidP="00ED56E0">
      <w:pPr>
        <w:pStyle w:val="Heading3"/>
        <w:rPr>
          <w:color w:val="auto"/>
        </w:rPr>
      </w:pPr>
      <w:r w:rsidRPr="00CF4C2B">
        <w:rPr>
          <w:color w:val="auto"/>
        </w:rPr>
        <w:lastRenderedPageBreak/>
        <w:t>Figure S</w:t>
      </w:r>
      <w:r w:rsidRPr="00CF4C2B">
        <w:rPr>
          <w:rFonts w:ascii="Times New Roman" w:hAnsi="Times New Roman"/>
          <w:color w:val="auto"/>
        </w:rPr>
        <w:t>6</w:t>
      </w:r>
      <w:r w:rsidR="004753A7" w:rsidRPr="00CF4C2B">
        <w:rPr>
          <w:color w:val="auto"/>
        </w:rPr>
        <w:t>:</w:t>
      </w:r>
      <w:r w:rsidR="00C920F6" w:rsidRPr="00CF4C2B">
        <w:rPr>
          <w:color w:val="auto"/>
        </w:rPr>
        <w:t xml:space="preserve"> </w:t>
      </w:r>
      <w:r w:rsidR="00DA57E4" w:rsidRPr="00CF4C2B">
        <w:rPr>
          <w:color w:val="auto"/>
        </w:rPr>
        <w:t xml:space="preserve">Visualization of </w:t>
      </w:r>
      <w:r w:rsidR="0090732B" w:rsidRPr="00CF4C2B">
        <w:rPr>
          <w:color w:val="auto"/>
        </w:rPr>
        <w:t>significant correlations for functional indices (</w:t>
      </w:r>
      <w:r w:rsidR="005D01CC" w:rsidRPr="00CF4C2B">
        <w:rPr>
          <w:color w:val="auto"/>
        </w:rPr>
        <w:t>f</w:t>
      </w:r>
      <w:r w:rsidR="0090732B" w:rsidRPr="00CF4C2B">
        <w:rPr>
          <w:color w:val="auto"/>
        </w:rPr>
        <w:t>unctional Richness</w:t>
      </w:r>
      <w:r w:rsidR="008332F1" w:rsidRPr="00CF4C2B">
        <w:rPr>
          <w:color w:val="auto"/>
        </w:rPr>
        <w:t xml:space="preserve"> vs </w:t>
      </w:r>
      <w:r w:rsidR="005D01CC" w:rsidRPr="00CF4C2B">
        <w:rPr>
          <w:color w:val="auto"/>
        </w:rPr>
        <w:t>landscape heterogeneity (</w:t>
      </w:r>
      <w:r w:rsidR="008332F1" w:rsidRPr="00CF4C2B">
        <w:rPr>
          <w:color w:val="auto"/>
        </w:rPr>
        <w:t>LHI</w:t>
      </w:r>
      <w:r w:rsidR="005D01CC" w:rsidRPr="00CF4C2B">
        <w:rPr>
          <w:color w:val="auto"/>
        </w:rPr>
        <w:t>)</w:t>
      </w:r>
      <w:r w:rsidR="0090732B" w:rsidRPr="00CF4C2B">
        <w:rPr>
          <w:color w:val="auto"/>
        </w:rPr>
        <w:t>)</w:t>
      </w:r>
      <w:r w:rsidR="005D01CC" w:rsidRPr="00CF4C2B">
        <w:rPr>
          <w:color w:val="auto"/>
        </w:rPr>
        <w:t>,</w:t>
      </w:r>
      <w:r w:rsidR="00ED56E0" w:rsidRPr="00CF4C2B">
        <w:rPr>
          <w:color w:val="auto"/>
        </w:rPr>
        <w:t xml:space="preserve"> also separate for each region (Alb, </w:t>
      </w:r>
      <w:proofErr w:type="spellStart"/>
      <w:r w:rsidR="00ED56E0" w:rsidRPr="00CF4C2B">
        <w:rPr>
          <w:color w:val="auto"/>
        </w:rPr>
        <w:t>Hainich</w:t>
      </w:r>
      <w:proofErr w:type="spellEnd"/>
      <w:r w:rsidR="00ED56E0" w:rsidRPr="00CF4C2B">
        <w:rPr>
          <w:color w:val="auto"/>
        </w:rPr>
        <w:t xml:space="preserve">, </w:t>
      </w:r>
      <w:proofErr w:type="spellStart"/>
      <w:r w:rsidR="00ED56E0" w:rsidRPr="00CF4C2B">
        <w:rPr>
          <w:color w:val="auto"/>
        </w:rPr>
        <w:t>Schorfheide</w:t>
      </w:r>
      <w:proofErr w:type="spellEnd"/>
      <w:r w:rsidR="00ED56E0" w:rsidRPr="00CF4C2B">
        <w:rPr>
          <w:color w:val="auto"/>
        </w:rPr>
        <w:t xml:space="preserve"> and Belgium). Landscape heterogeneity index (LHI) (blue, green, yellow, from less to more diverse landscape); </w:t>
      </w:r>
      <w:proofErr w:type="spellStart"/>
      <w:r w:rsidR="00ED56E0" w:rsidRPr="00CF4C2B">
        <w:rPr>
          <w:color w:val="auto"/>
        </w:rPr>
        <w:t>Exploratories</w:t>
      </w:r>
      <w:proofErr w:type="spellEnd"/>
      <w:r w:rsidR="00ED56E0" w:rsidRPr="00CF4C2B">
        <w:rPr>
          <w:color w:val="auto"/>
        </w:rPr>
        <w:t xml:space="preserve">: Alb (red), Belgium (green), </w:t>
      </w:r>
      <w:proofErr w:type="spellStart"/>
      <w:r w:rsidR="00ED56E0" w:rsidRPr="00CF4C2B">
        <w:rPr>
          <w:color w:val="auto"/>
        </w:rPr>
        <w:t>Hainich</w:t>
      </w:r>
      <w:proofErr w:type="spellEnd"/>
      <w:r w:rsidR="00ED56E0" w:rsidRPr="00CF4C2B">
        <w:rPr>
          <w:color w:val="auto"/>
        </w:rPr>
        <w:t xml:space="preserve"> (blue), </w:t>
      </w:r>
      <w:proofErr w:type="spellStart"/>
      <w:r w:rsidR="00ED56E0" w:rsidRPr="00CF4C2B">
        <w:rPr>
          <w:color w:val="auto"/>
        </w:rPr>
        <w:t>Schorfheide</w:t>
      </w:r>
      <w:proofErr w:type="spellEnd"/>
      <w:r w:rsidR="00ED56E0" w:rsidRPr="00CF4C2B">
        <w:rPr>
          <w:color w:val="auto"/>
        </w:rPr>
        <w:t xml:space="preserve"> (violet). </w:t>
      </w:r>
    </w:p>
    <w:p w14:paraId="53032750" w14:textId="65D629DC" w:rsidR="008F750D" w:rsidRDefault="00CF4C2B" w:rsidP="00ED56E0">
      <w:pPr>
        <w:pStyle w:val="Heading3"/>
      </w:pPr>
      <w:r>
        <w:rPr>
          <w:noProof/>
        </w:rPr>
        <w:pict w14:anchorId="7A38F94C">
          <v:shape id="_x0000_s1055" type="#_x0000_t75" style="position:absolute;margin-left:0;margin-top:29.8pt;width:282.95pt;height:198pt;z-index:-251566080;mso-position-horizontal-relative:text;mso-position-vertical-relative:text;mso-width-relative:page;mso-height-relative:page" wrapcoords="-50 0 -50 21529 21600 21529 21600 0 -50 0">
            <v:imagedata r:id="rId18" o:title="Fric vs LHI 2"/>
            <w10:wrap type="tight"/>
          </v:shape>
        </w:pict>
      </w:r>
    </w:p>
    <w:p w14:paraId="1B4898A3" w14:textId="392BF155" w:rsidR="00F45D70" w:rsidRDefault="00CF4C2B" w:rsidP="008332F1">
      <w:r>
        <w:rPr>
          <w:noProof/>
        </w:rPr>
        <w:pict w14:anchorId="404FFED5">
          <v:shape id="_x0000_s1056" type="#_x0000_t75" style="position:absolute;margin-left:278.25pt;margin-top:4.7pt;width:249pt;height:249pt;z-index:-251564032;mso-position-horizontal-relative:text;mso-position-vertical-relative:text;mso-width-relative:page;mso-height-relative:page" wrapcoords="-54 0 -54 21546 21600 21546 21600 0 -54 0">
            <v:imagedata r:id="rId19" o:title="Fric vs LHI"/>
            <w10:wrap type="tight"/>
          </v:shape>
        </w:pict>
      </w:r>
    </w:p>
    <w:p w14:paraId="47647AF5" w14:textId="587587C5" w:rsidR="00C920F6" w:rsidRDefault="00C920F6">
      <w:pPr>
        <w:rPr>
          <w:b/>
        </w:rPr>
      </w:pPr>
    </w:p>
    <w:p w14:paraId="74CDDC79" w14:textId="77777777" w:rsidR="00C920F6" w:rsidRDefault="00C920F6">
      <w:pPr>
        <w:rPr>
          <w:b/>
        </w:rPr>
      </w:pPr>
    </w:p>
    <w:p w14:paraId="188FF523" w14:textId="22940613" w:rsidR="00C920F6" w:rsidRDefault="00C920F6">
      <w:pPr>
        <w:rPr>
          <w:b/>
        </w:rPr>
      </w:pPr>
    </w:p>
    <w:p w14:paraId="62AFA84C" w14:textId="2FE67186" w:rsidR="00C0278F" w:rsidRDefault="00C0278F">
      <w:pPr>
        <w:rPr>
          <w:b/>
        </w:rPr>
      </w:pPr>
    </w:p>
    <w:p w14:paraId="369DFD2B" w14:textId="66062C24" w:rsidR="00CB020D" w:rsidRDefault="00CB020D">
      <w:pPr>
        <w:rPr>
          <w:b/>
        </w:rPr>
      </w:pPr>
    </w:p>
    <w:p w14:paraId="15D852E6" w14:textId="26F0F1A9" w:rsidR="00CB020D" w:rsidRDefault="00CB020D">
      <w:pPr>
        <w:rPr>
          <w:b/>
        </w:rPr>
      </w:pPr>
    </w:p>
    <w:p w14:paraId="0473AB67" w14:textId="64833B13" w:rsidR="00CB020D" w:rsidRDefault="00CB020D">
      <w:pPr>
        <w:rPr>
          <w:b/>
        </w:rPr>
      </w:pPr>
    </w:p>
    <w:p w14:paraId="197E2BA2" w14:textId="185CB6A1" w:rsidR="00CB020D" w:rsidRDefault="00CB020D">
      <w:pPr>
        <w:rPr>
          <w:b/>
        </w:rPr>
      </w:pPr>
    </w:p>
    <w:p w14:paraId="37D6EA9F" w14:textId="4AF3AF13" w:rsidR="00CB020D" w:rsidRDefault="00CB020D">
      <w:pPr>
        <w:rPr>
          <w:b/>
        </w:rPr>
      </w:pPr>
    </w:p>
    <w:p w14:paraId="01905987" w14:textId="19C7398E" w:rsidR="00CB020D" w:rsidRDefault="00CB020D">
      <w:pPr>
        <w:rPr>
          <w:b/>
        </w:rPr>
      </w:pPr>
    </w:p>
    <w:p w14:paraId="0AF7C831" w14:textId="5EC7C957" w:rsidR="00CB020D" w:rsidRDefault="00CB020D">
      <w:pPr>
        <w:rPr>
          <w:b/>
        </w:rPr>
      </w:pPr>
    </w:p>
    <w:p w14:paraId="31840661" w14:textId="30F58B75" w:rsidR="00CB020D" w:rsidRDefault="00CB020D">
      <w:pPr>
        <w:rPr>
          <w:b/>
        </w:rPr>
      </w:pPr>
    </w:p>
    <w:p w14:paraId="56F3E7A3" w14:textId="660A33C6" w:rsidR="00CB020D" w:rsidRDefault="00CB020D">
      <w:pPr>
        <w:rPr>
          <w:b/>
        </w:rPr>
      </w:pPr>
    </w:p>
    <w:p w14:paraId="307131C9" w14:textId="77777777" w:rsidR="00CB020D" w:rsidRDefault="00CB020D">
      <w:pPr>
        <w:rPr>
          <w:b/>
        </w:rPr>
      </w:pPr>
    </w:p>
    <w:p w14:paraId="10D2E899" w14:textId="77777777" w:rsidR="00C0278F" w:rsidRDefault="00C0278F">
      <w:pPr>
        <w:rPr>
          <w:b/>
        </w:rPr>
      </w:pPr>
    </w:p>
    <w:p w14:paraId="668BE75F" w14:textId="3B92BFBB" w:rsidR="004B775D" w:rsidRPr="00CF4C2B" w:rsidRDefault="004B775D" w:rsidP="004B775D">
      <w:pPr>
        <w:pStyle w:val="Heading1"/>
        <w:rPr>
          <w:color w:val="auto"/>
        </w:rPr>
      </w:pPr>
      <w:r w:rsidRPr="00CF4C2B">
        <w:rPr>
          <w:color w:val="auto"/>
        </w:rPr>
        <w:lastRenderedPageBreak/>
        <w:t>Supplementary material – Details on protocols and methods</w:t>
      </w:r>
    </w:p>
    <w:p w14:paraId="07D23570" w14:textId="77777777" w:rsidR="00ED56E0" w:rsidRPr="00CF4C2B" w:rsidRDefault="00ED56E0" w:rsidP="00ED56E0"/>
    <w:p w14:paraId="7FFC6095" w14:textId="0F4A6CFF" w:rsidR="001D7BFC" w:rsidRPr="00CF4C2B" w:rsidRDefault="00A152FB" w:rsidP="001D7BFC">
      <w:pPr>
        <w:pStyle w:val="Heading3"/>
        <w:rPr>
          <w:color w:val="auto"/>
        </w:rPr>
      </w:pPr>
      <w:r w:rsidRPr="00CF4C2B">
        <w:rPr>
          <w:color w:val="auto"/>
        </w:rPr>
        <w:t xml:space="preserve">Protocol </w:t>
      </w:r>
      <w:r w:rsidR="00735B3D" w:rsidRPr="00CF4C2B">
        <w:rPr>
          <w:color w:val="auto"/>
        </w:rPr>
        <w:t>1:</w:t>
      </w:r>
      <w:r w:rsidR="00ED56E0" w:rsidRPr="00CF4C2B">
        <w:rPr>
          <w:color w:val="auto"/>
        </w:rPr>
        <w:t xml:space="preserve"> </w:t>
      </w:r>
      <w:r w:rsidR="001D7BFC" w:rsidRPr="00CF4C2B">
        <w:rPr>
          <w:color w:val="auto"/>
        </w:rPr>
        <w:t>Additional information about sites</w:t>
      </w:r>
      <w:r w:rsidR="004A1DCC" w:rsidRPr="00CF4C2B">
        <w:rPr>
          <w:color w:val="auto"/>
        </w:rPr>
        <w:t xml:space="preserve"> </w:t>
      </w:r>
    </w:p>
    <w:p w14:paraId="74F39FBF" w14:textId="6AB4A2C1" w:rsidR="001D7BFC" w:rsidRDefault="001D7BFC" w:rsidP="00A152FB">
      <w:pPr>
        <w:rPr>
          <w:sz w:val="24"/>
          <w:szCs w:val="24"/>
        </w:rPr>
      </w:pPr>
      <w:r>
        <w:rPr>
          <w:noProof/>
          <w:sz w:val="24"/>
          <w:szCs w:val="24"/>
        </w:rPr>
        <w:drawing>
          <wp:anchor distT="0" distB="0" distL="114300" distR="114300" simplePos="0" relativeHeight="251757568" behindDoc="1" locked="0" layoutInCell="1" allowOverlap="1" wp14:anchorId="043548D7" wp14:editId="48E14C36">
            <wp:simplePos x="0" y="0"/>
            <wp:positionH relativeFrom="margin">
              <wp:align>right</wp:align>
            </wp:positionH>
            <wp:positionV relativeFrom="paragraph">
              <wp:posOffset>1036196</wp:posOffset>
            </wp:positionV>
            <wp:extent cx="5943600" cy="3962400"/>
            <wp:effectExtent l="0" t="0" r="0" b="0"/>
            <wp:wrapTight wrapText="bothSides">
              <wp:wrapPolygon edited="0">
                <wp:start x="0" y="0"/>
                <wp:lineTo x="0" y="21496"/>
                <wp:lineTo x="21531" y="21496"/>
                <wp:lineTo x="21531" y="0"/>
                <wp:lineTo x="0" y="0"/>
              </wp:wrapPolygon>
            </wp:wrapTight>
            <wp:docPr id="9825033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The plots are located in areas with a mix use of nature conservation, agriculture and urban areas. Figure P1</w:t>
      </w:r>
      <w:r w:rsidR="00F54C37">
        <w:rPr>
          <w:sz w:val="24"/>
          <w:szCs w:val="24"/>
        </w:rPr>
        <w:t>.1</w:t>
      </w:r>
      <w:r>
        <w:rPr>
          <w:sz w:val="24"/>
          <w:szCs w:val="24"/>
        </w:rPr>
        <w:t xml:space="preserve"> and P</w:t>
      </w:r>
      <w:r w:rsidR="00F54C37">
        <w:rPr>
          <w:sz w:val="24"/>
          <w:szCs w:val="24"/>
        </w:rPr>
        <w:t>1.</w:t>
      </w:r>
      <w:r>
        <w:rPr>
          <w:sz w:val="24"/>
          <w:szCs w:val="24"/>
        </w:rPr>
        <w:t>2 shows a heatmap representing the distance between plots, and the subset of plots with less than 1 km in between fields. Figure P</w:t>
      </w:r>
      <w:r w:rsidR="00F54C37">
        <w:rPr>
          <w:sz w:val="24"/>
          <w:szCs w:val="24"/>
        </w:rPr>
        <w:t>1.</w:t>
      </w:r>
      <w:r>
        <w:rPr>
          <w:sz w:val="24"/>
          <w:szCs w:val="24"/>
        </w:rPr>
        <w:t xml:space="preserve">3 shows the diversity of sizes within the units of management grassland (meadows) between plots. </w:t>
      </w:r>
    </w:p>
    <w:p w14:paraId="5919938D" w14:textId="628AF858" w:rsidR="001D7BFC" w:rsidRDefault="001D7BFC" w:rsidP="00A152FB">
      <w:pPr>
        <w:rPr>
          <w:sz w:val="24"/>
          <w:szCs w:val="24"/>
        </w:rPr>
      </w:pPr>
      <w:r>
        <w:rPr>
          <w:sz w:val="24"/>
          <w:szCs w:val="24"/>
        </w:rPr>
        <w:t>Figure P1</w:t>
      </w:r>
      <w:r w:rsidR="00F54C37">
        <w:rPr>
          <w:sz w:val="24"/>
          <w:szCs w:val="24"/>
        </w:rPr>
        <w:t>.1</w:t>
      </w:r>
      <w:r>
        <w:rPr>
          <w:sz w:val="24"/>
          <w:szCs w:val="24"/>
        </w:rPr>
        <w:t xml:space="preserve">: Distance between fields (in kilometers), per site. The stronger the orange color, the higher the distance. </w:t>
      </w:r>
    </w:p>
    <w:p w14:paraId="04F4551C" w14:textId="3D8E1CC2" w:rsidR="001D7BFC" w:rsidRDefault="001D7BFC" w:rsidP="00A152FB">
      <w:pPr>
        <w:rPr>
          <w:sz w:val="24"/>
          <w:szCs w:val="24"/>
        </w:rPr>
      </w:pPr>
    </w:p>
    <w:p w14:paraId="0EFA50A7" w14:textId="37BDC181" w:rsidR="00A152FB" w:rsidRPr="001D7BFC" w:rsidRDefault="00A152FB" w:rsidP="00A152FB">
      <w:pPr>
        <w:rPr>
          <w:sz w:val="24"/>
          <w:szCs w:val="24"/>
        </w:rPr>
      </w:pPr>
    </w:p>
    <w:p w14:paraId="52602F13" w14:textId="28B6E1AA" w:rsidR="00BC2BC3" w:rsidRDefault="00BC2BC3" w:rsidP="00A152FB"/>
    <w:p w14:paraId="5A9E8704" w14:textId="6642A250" w:rsidR="00735B3D" w:rsidRPr="00CB020D" w:rsidRDefault="00BC2BC3" w:rsidP="004B775D">
      <w:r>
        <w:br w:type="page"/>
      </w:r>
    </w:p>
    <w:p w14:paraId="23D8E03D" w14:textId="6430BFAA" w:rsidR="001D7BFC" w:rsidRDefault="001D7BFC" w:rsidP="00FD3697">
      <w:pPr>
        <w:pStyle w:val="Heading3"/>
      </w:pPr>
      <w:r>
        <w:rPr>
          <w:noProof/>
        </w:rPr>
        <w:lastRenderedPageBreak/>
        <w:drawing>
          <wp:anchor distT="0" distB="0" distL="114300" distR="114300" simplePos="0" relativeHeight="251758592" behindDoc="1" locked="0" layoutInCell="1" allowOverlap="1" wp14:anchorId="1FADAD5B" wp14:editId="0D3B1827">
            <wp:simplePos x="0" y="0"/>
            <wp:positionH relativeFrom="margin">
              <wp:posOffset>319405</wp:posOffset>
            </wp:positionH>
            <wp:positionV relativeFrom="paragraph">
              <wp:posOffset>0</wp:posOffset>
            </wp:positionV>
            <wp:extent cx="4987925" cy="3874770"/>
            <wp:effectExtent l="0" t="0" r="3175" b="0"/>
            <wp:wrapTight wrapText="bothSides">
              <wp:wrapPolygon edited="0">
                <wp:start x="0" y="0"/>
                <wp:lineTo x="0" y="21451"/>
                <wp:lineTo x="21531" y="21451"/>
                <wp:lineTo x="21531" y="0"/>
                <wp:lineTo x="0" y="0"/>
              </wp:wrapPolygon>
            </wp:wrapTight>
            <wp:docPr id="513154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87925" cy="3874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D12C71" w14:textId="77777777" w:rsidR="001D7BFC" w:rsidRDefault="001D7BFC" w:rsidP="00FD3697">
      <w:pPr>
        <w:pStyle w:val="Heading3"/>
      </w:pPr>
    </w:p>
    <w:p w14:paraId="2A9A3EE0" w14:textId="77777777" w:rsidR="001D7BFC" w:rsidRDefault="001D7BFC" w:rsidP="00FD3697">
      <w:pPr>
        <w:pStyle w:val="Heading3"/>
      </w:pPr>
    </w:p>
    <w:p w14:paraId="6E73592D" w14:textId="7493E616" w:rsidR="001D7BFC" w:rsidRDefault="001D7BFC" w:rsidP="00FD3697">
      <w:pPr>
        <w:pStyle w:val="Heading3"/>
      </w:pPr>
    </w:p>
    <w:p w14:paraId="238F0A99" w14:textId="77777777" w:rsidR="001D7BFC" w:rsidRDefault="001D7BFC" w:rsidP="00FD3697">
      <w:pPr>
        <w:pStyle w:val="Heading3"/>
      </w:pPr>
    </w:p>
    <w:p w14:paraId="3FD06301" w14:textId="5CE8AB61" w:rsidR="001D7BFC" w:rsidRDefault="001D7BFC" w:rsidP="00FD3697">
      <w:pPr>
        <w:pStyle w:val="Heading3"/>
      </w:pPr>
    </w:p>
    <w:p w14:paraId="2E6B2D17" w14:textId="77777777" w:rsidR="001D7BFC" w:rsidRDefault="001D7BFC" w:rsidP="00FD3697">
      <w:pPr>
        <w:pStyle w:val="Heading3"/>
      </w:pPr>
    </w:p>
    <w:p w14:paraId="7C8E1009" w14:textId="10C3149B" w:rsidR="001D7BFC" w:rsidRDefault="001D7BFC" w:rsidP="00FD3697">
      <w:pPr>
        <w:pStyle w:val="Heading3"/>
      </w:pPr>
    </w:p>
    <w:p w14:paraId="2F082B91" w14:textId="77777777" w:rsidR="001D7BFC" w:rsidRDefault="001D7BFC" w:rsidP="00FD3697">
      <w:pPr>
        <w:pStyle w:val="Heading3"/>
      </w:pPr>
    </w:p>
    <w:p w14:paraId="23A01751" w14:textId="418F3987" w:rsidR="001D7BFC" w:rsidRDefault="001D7BFC" w:rsidP="00FD3697">
      <w:pPr>
        <w:pStyle w:val="Heading3"/>
      </w:pPr>
    </w:p>
    <w:p w14:paraId="771BEBC6" w14:textId="77777777" w:rsidR="001D7BFC" w:rsidRDefault="001D7BFC" w:rsidP="00FD3697">
      <w:pPr>
        <w:pStyle w:val="Heading3"/>
      </w:pPr>
    </w:p>
    <w:p w14:paraId="45A7678C" w14:textId="712CC84D" w:rsidR="001D7BFC" w:rsidRDefault="001D7BFC" w:rsidP="00FD3697">
      <w:pPr>
        <w:pStyle w:val="Heading3"/>
      </w:pPr>
    </w:p>
    <w:p w14:paraId="1BB52F97" w14:textId="08F57A84" w:rsidR="001D7BFC" w:rsidRDefault="001D7BFC" w:rsidP="00FD3697">
      <w:pPr>
        <w:pStyle w:val="Heading3"/>
      </w:pPr>
    </w:p>
    <w:p w14:paraId="4E7835BA" w14:textId="5D923755" w:rsidR="001D7BFC" w:rsidRDefault="001D7BFC" w:rsidP="00FD3697">
      <w:pPr>
        <w:pStyle w:val="Heading3"/>
      </w:pPr>
    </w:p>
    <w:p w14:paraId="6C36706D" w14:textId="10EB3BBB" w:rsidR="001D7BFC" w:rsidRDefault="001D7BFC" w:rsidP="00FD3697">
      <w:pPr>
        <w:pStyle w:val="Heading3"/>
      </w:pPr>
    </w:p>
    <w:p w14:paraId="02504FBB" w14:textId="77777777" w:rsidR="001D7BFC" w:rsidRDefault="001D7BFC" w:rsidP="00FD3697">
      <w:pPr>
        <w:pStyle w:val="Heading3"/>
      </w:pPr>
    </w:p>
    <w:p w14:paraId="0F82980C" w14:textId="766A0736" w:rsidR="001D7BFC" w:rsidRDefault="001D7BFC" w:rsidP="00FD3697">
      <w:pPr>
        <w:pStyle w:val="Heading3"/>
      </w:pPr>
    </w:p>
    <w:p w14:paraId="185F63A5" w14:textId="769A0CDD" w:rsidR="001D7BFC" w:rsidRDefault="001D7BFC" w:rsidP="00FD3697">
      <w:pPr>
        <w:pStyle w:val="Heading3"/>
      </w:pPr>
    </w:p>
    <w:p w14:paraId="6CAABDD3" w14:textId="580B9ABD" w:rsidR="008A2C50" w:rsidRPr="008A2C50" w:rsidRDefault="001D7BFC" w:rsidP="008A2C50">
      <w:pPr>
        <w:rPr>
          <w:sz w:val="24"/>
          <w:szCs w:val="24"/>
        </w:rPr>
      </w:pPr>
      <w:r>
        <w:rPr>
          <w:sz w:val="24"/>
          <w:szCs w:val="24"/>
        </w:rPr>
        <w:t>Figure P</w:t>
      </w:r>
      <w:r w:rsidR="00F54C37">
        <w:rPr>
          <w:sz w:val="24"/>
          <w:szCs w:val="24"/>
        </w:rPr>
        <w:t>1.2</w:t>
      </w:r>
      <w:r>
        <w:rPr>
          <w:sz w:val="24"/>
          <w:szCs w:val="24"/>
        </w:rPr>
        <w:t xml:space="preserve">: Subset of plots with less than 1 km in between them. Distance between fields (in kilometers), per site. The stronger the orange color, the higher the distance. </w:t>
      </w:r>
    </w:p>
    <w:p w14:paraId="7CE9ACCE" w14:textId="778D6219" w:rsidR="008A2C50" w:rsidRDefault="008A2C50" w:rsidP="008A2C50">
      <w:r>
        <w:rPr>
          <w:noProof/>
        </w:rPr>
        <w:drawing>
          <wp:anchor distT="0" distB="0" distL="114300" distR="114300" simplePos="0" relativeHeight="251766784" behindDoc="1" locked="0" layoutInCell="1" allowOverlap="1" wp14:anchorId="7BBD8FCC" wp14:editId="2F62ACC9">
            <wp:simplePos x="0" y="0"/>
            <wp:positionH relativeFrom="column">
              <wp:posOffset>252730</wp:posOffset>
            </wp:positionH>
            <wp:positionV relativeFrom="paragraph">
              <wp:posOffset>72483</wp:posOffset>
            </wp:positionV>
            <wp:extent cx="5166732" cy="3213671"/>
            <wp:effectExtent l="0" t="0" r="0" b="6350"/>
            <wp:wrapTight wrapText="bothSides">
              <wp:wrapPolygon edited="0">
                <wp:start x="0" y="0"/>
                <wp:lineTo x="0" y="21515"/>
                <wp:lineTo x="21504" y="21515"/>
                <wp:lineTo x="21504" y="0"/>
                <wp:lineTo x="0" y="0"/>
              </wp:wrapPolygon>
            </wp:wrapTight>
            <wp:docPr id="115598707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2">
                      <a:extLst>
                        <a:ext uri="{28A0092B-C50C-407E-A947-70E740481C1C}">
                          <a14:useLocalDpi xmlns:a14="http://schemas.microsoft.com/office/drawing/2010/main" val="0"/>
                        </a:ext>
                      </a:extLst>
                    </a:blip>
                    <a:srcRect t="7103"/>
                    <a:stretch/>
                  </pic:blipFill>
                  <pic:spPr bwMode="auto">
                    <a:xfrm>
                      <a:off x="0" y="0"/>
                      <a:ext cx="5166732" cy="32136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B4F596" w14:textId="77777777" w:rsidR="008A2C50" w:rsidRDefault="008A2C50" w:rsidP="008A2C50"/>
    <w:p w14:paraId="41E2DB6F" w14:textId="77777777" w:rsidR="008A2C50" w:rsidRDefault="008A2C50" w:rsidP="008A2C50"/>
    <w:p w14:paraId="4EF03D09" w14:textId="2F1A5541" w:rsidR="008A2C50" w:rsidRPr="00363049" w:rsidRDefault="00F54C37" w:rsidP="003E0F10">
      <w:pPr>
        <w:rPr>
          <w:sz w:val="24"/>
          <w:szCs w:val="24"/>
        </w:rPr>
      </w:pPr>
      <w:r>
        <w:rPr>
          <w:sz w:val="24"/>
          <w:szCs w:val="24"/>
        </w:rPr>
        <w:t xml:space="preserve">Figure P1.3: </w:t>
      </w:r>
      <w:r w:rsidR="008A2C50">
        <w:rPr>
          <w:sz w:val="24"/>
          <w:szCs w:val="24"/>
        </w:rPr>
        <w:t xml:space="preserve">Distribution of plot sizes (managed are for agriculture) per exploratory </w:t>
      </w:r>
    </w:p>
    <w:p w14:paraId="4E1C0F5F" w14:textId="7039728D" w:rsidR="009F1A85" w:rsidRPr="00CF4C2B" w:rsidRDefault="009F1A85" w:rsidP="009F1A85">
      <w:pPr>
        <w:pStyle w:val="Heading3"/>
        <w:rPr>
          <w:color w:val="auto"/>
        </w:rPr>
      </w:pPr>
      <w:r w:rsidRPr="00CF4C2B">
        <w:rPr>
          <w:color w:val="auto"/>
        </w:rPr>
        <w:lastRenderedPageBreak/>
        <w:t>Spatial autocorrelation test</w:t>
      </w:r>
    </w:p>
    <w:p w14:paraId="634B83D2" w14:textId="55BCC273" w:rsidR="007708AD" w:rsidRDefault="007708AD" w:rsidP="007708AD"/>
    <w:p w14:paraId="59339453" w14:textId="7C1B95AC" w:rsidR="007708AD" w:rsidRDefault="007708AD" w:rsidP="007708AD">
      <w:r>
        <w:t xml:space="preserve">Given the closeness of some of our plots with each other, we performed a spatial autocorrelation test on our variables of interest, to evaluate whether they whether there was a spatial dependence of the data (Table P1). Results suggest all variables except Plant diversity have an effect of spatial autocorrelation, suggesting the data in plots closer together may be associated. Based on these results we included in our models a spatial autocorrelation term. Results in the main text of this manuscript reflect significances including the autocorrelation term. </w:t>
      </w:r>
    </w:p>
    <w:p w14:paraId="2DA24444" w14:textId="77777777" w:rsidR="007708AD" w:rsidRPr="007708AD" w:rsidRDefault="007708AD" w:rsidP="007708AD"/>
    <w:p w14:paraId="5639FF2A" w14:textId="328F9C84" w:rsidR="009F1A85" w:rsidRDefault="007708AD" w:rsidP="003E0F10">
      <w:r>
        <w:t xml:space="preserve">Table P1: Spatial autocorrelation Moran I test over environmental and community variables of interest. </w:t>
      </w:r>
    </w:p>
    <w:tbl>
      <w:tblPr>
        <w:tblW w:w="9700" w:type="dxa"/>
        <w:tblLook w:val="04A0" w:firstRow="1" w:lastRow="0" w:firstColumn="1" w:lastColumn="0" w:noHBand="0" w:noVBand="1"/>
      </w:tblPr>
      <w:tblGrid>
        <w:gridCol w:w="2440"/>
        <w:gridCol w:w="1760"/>
        <w:gridCol w:w="1940"/>
        <w:gridCol w:w="960"/>
        <w:gridCol w:w="2600"/>
      </w:tblGrid>
      <w:tr w:rsidR="007708AD" w:rsidRPr="007708AD" w14:paraId="476609FC" w14:textId="77777777" w:rsidTr="007708AD">
        <w:trPr>
          <w:trHeight w:val="576"/>
        </w:trPr>
        <w:tc>
          <w:tcPr>
            <w:tcW w:w="2440" w:type="dxa"/>
            <w:tcBorders>
              <w:top w:val="nil"/>
              <w:left w:val="nil"/>
              <w:bottom w:val="single" w:sz="4" w:space="0" w:color="auto"/>
              <w:right w:val="nil"/>
            </w:tcBorders>
            <w:shd w:val="clear" w:color="auto" w:fill="auto"/>
            <w:vAlign w:val="bottom"/>
            <w:hideMark/>
          </w:tcPr>
          <w:p w14:paraId="11563B2D" w14:textId="77777777" w:rsidR="007708AD" w:rsidRPr="007708AD" w:rsidRDefault="007708AD" w:rsidP="007708AD">
            <w:pPr>
              <w:spacing w:after="0" w:line="240" w:lineRule="auto"/>
              <w:rPr>
                <w:rFonts w:ascii="Calibri" w:eastAsia="Times New Roman" w:hAnsi="Calibri" w:cs="Calibri"/>
                <w:b/>
                <w:bCs/>
                <w:color w:val="000000"/>
                <w:lang/>
              </w:rPr>
            </w:pPr>
            <w:r w:rsidRPr="007708AD">
              <w:rPr>
                <w:rFonts w:ascii="Calibri" w:eastAsia="Times New Roman" w:hAnsi="Calibri" w:cs="Calibri"/>
                <w:b/>
                <w:bCs/>
                <w:color w:val="000000"/>
                <w:lang/>
              </w:rPr>
              <w:t>Variable tested</w:t>
            </w:r>
          </w:p>
        </w:tc>
        <w:tc>
          <w:tcPr>
            <w:tcW w:w="1760" w:type="dxa"/>
            <w:tcBorders>
              <w:top w:val="nil"/>
              <w:left w:val="nil"/>
              <w:bottom w:val="single" w:sz="4" w:space="0" w:color="auto"/>
              <w:right w:val="nil"/>
            </w:tcBorders>
            <w:shd w:val="clear" w:color="auto" w:fill="auto"/>
            <w:vAlign w:val="bottom"/>
            <w:hideMark/>
          </w:tcPr>
          <w:p w14:paraId="3428F1AF" w14:textId="77777777" w:rsidR="007708AD" w:rsidRPr="007708AD" w:rsidRDefault="007708AD" w:rsidP="007708AD">
            <w:pPr>
              <w:spacing w:after="0" w:line="240" w:lineRule="auto"/>
              <w:rPr>
                <w:rFonts w:ascii="Calibri" w:eastAsia="Times New Roman" w:hAnsi="Calibri" w:cs="Calibri"/>
                <w:b/>
                <w:bCs/>
                <w:color w:val="000000"/>
                <w:lang/>
              </w:rPr>
            </w:pPr>
            <w:r w:rsidRPr="007708AD">
              <w:rPr>
                <w:rFonts w:ascii="Calibri" w:eastAsia="Times New Roman" w:hAnsi="Calibri" w:cs="Calibri"/>
                <w:b/>
                <w:bCs/>
                <w:color w:val="000000"/>
                <w:lang/>
              </w:rPr>
              <w:t xml:space="preserve">Moran I statistic </w:t>
            </w:r>
          </w:p>
        </w:tc>
        <w:tc>
          <w:tcPr>
            <w:tcW w:w="1940" w:type="dxa"/>
            <w:tcBorders>
              <w:top w:val="nil"/>
              <w:left w:val="nil"/>
              <w:bottom w:val="single" w:sz="4" w:space="0" w:color="auto"/>
              <w:right w:val="nil"/>
            </w:tcBorders>
            <w:shd w:val="clear" w:color="auto" w:fill="auto"/>
            <w:vAlign w:val="bottom"/>
            <w:hideMark/>
          </w:tcPr>
          <w:p w14:paraId="21CC933A" w14:textId="77777777" w:rsidR="007708AD" w:rsidRPr="007708AD" w:rsidRDefault="007708AD" w:rsidP="007708AD">
            <w:pPr>
              <w:spacing w:after="0" w:line="240" w:lineRule="auto"/>
              <w:rPr>
                <w:rFonts w:ascii="Calibri" w:eastAsia="Times New Roman" w:hAnsi="Calibri" w:cs="Calibri"/>
                <w:b/>
                <w:bCs/>
                <w:color w:val="000000"/>
                <w:lang/>
              </w:rPr>
            </w:pPr>
            <w:r w:rsidRPr="007708AD">
              <w:rPr>
                <w:rFonts w:ascii="Calibri" w:eastAsia="Times New Roman" w:hAnsi="Calibri" w:cs="Calibri"/>
                <w:b/>
                <w:bCs/>
                <w:color w:val="000000"/>
                <w:lang/>
              </w:rPr>
              <w:t xml:space="preserve">Moran I statistic standard deviate </w:t>
            </w:r>
          </w:p>
        </w:tc>
        <w:tc>
          <w:tcPr>
            <w:tcW w:w="960" w:type="dxa"/>
            <w:tcBorders>
              <w:top w:val="nil"/>
              <w:left w:val="nil"/>
              <w:bottom w:val="single" w:sz="4" w:space="0" w:color="auto"/>
              <w:right w:val="nil"/>
            </w:tcBorders>
            <w:shd w:val="clear" w:color="auto" w:fill="auto"/>
            <w:vAlign w:val="bottom"/>
            <w:hideMark/>
          </w:tcPr>
          <w:p w14:paraId="4038EAF1" w14:textId="77777777" w:rsidR="007708AD" w:rsidRPr="007708AD" w:rsidRDefault="007708AD" w:rsidP="007708AD">
            <w:pPr>
              <w:spacing w:after="0" w:line="240" w:lineRule="auto"/>
              <w:rPr>
                <w:rFonts w:ascii="Calibri" w:eastAsia="Times New Roman" w:hAnsi="Calibri" w:cs="Calibri"/>
                <w:b/>
                <w:bCs/>
                <w:color w:val="000000"/>
                <w:lang/>
              </w:rPr>
            </w:pPr>
            <w:r w:rsidRPr="007708AD">
              <w:rPr>
                <w:rFonts w:ascii="Calibri" w:eastAsia="Times New Roman" w:hAnsi="Calibri" w:cs="Calibri"/>
                <w:b/>
                <w:bCs/>
                <w:color w:val="000000"/>
                <w:lang/>
              </w:rPr>
              <w:t xml:space="preserve"> p-value</w:t>
            </w:r>
          </w:p>
        </w:tc>
        <w:tc>
          <w:tcPr>
            <w:tcW w:w="2600" w:type="dxa"/>
            <w:tcBorders>
              <w:top w:val="nil"/>
              <w:left w:val="nil"/>
              <w:bottom w:val="single" w:sz="4" w:space="0" w:color="auto"/>
              <w:right w:val="nil"/>
            </w:tcBorders>
            <w:shd w:val="clear" w:color="auto" w:fill="auto"/>
            <w:vAlign w:val="bottom"/>
            <w:hideMark/>
          </w:tcPr>
          <w:p w14:paraId="6299F558" w14:textId="77777777" w:rsidR="007708AD" w:rsidRPr="007708AD" w:rsidRDefault="007708AD" w:rsidP="007708AD">
            <w:pPr>
              <w:spacing w:after="0" w:line="240" w:lineRule="auto"/>
              <w:rPr>
                <w:rFonts w:ascii="Calibri" w:eastAsia="Times New Roman" w:hAnsi="Calibri" w:cs="Calibri"/>
                <w:b/>
                <w:bCs/>
                <w:color w:val="000000"/>
                <w:lang/>
              </w:rPr>
            </w:pPr>
            <w:r w:rsidRPr="007708AD">
              <w:rPr>
                <w:rFonts w:ascii="Calibri" w:eastAsia="Times New Roman" w:hAnsi="Calibri" w:cs="Calibri"/>
                <w:b/>
                <w:bCs/>
                <w:color w:val="000000"/>
                <w:lang/>
              </w:rPr>
              <w:t>Spatial autocorrelation effect</w:t>
            </w:r>
          </w:p>
        </w:tc>
      </w:tr>
      <w:tr w:rsidR="007708AD" w:rsidRPr="007708AD" w14:paraId="553904C3" w14:textId="77777777" w:rsidTr="007708AD">
        <w:trPr>
          <w:trHeight w:val="288"/>
        </w:trPr>
        <w:tc>
          <w:tcPr>
            <w:tcW w:w="2440" w:type="dxa"/>
            <w:tcBorders>
              <w:top w:val="nil"/>
              <w:left w:val="nil"/>
              <w:bottom w:val="nil"/>
              <w:right w:val="nil"/>
            </w:tcBorders>
            <w:shd w:val="clear" w:color="auto" w:fill="auto"/>
            <w:vAlign w:val="bottom"/>
            <w:hideMark/>
          </w:tcPr>
          <w:p w14:paraId="3099DA4B" w14:textId="1ABE1F7E"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Test for L</w:t>
            </w:r>
            <w:r>
              <w:rPr>
                <w:rFonts w:ascii="Calibri" w:eastAsia="Times New Roman" w:hAnsi="Calibri" w:cs="Calibri"/>
                <w:color w:val="000000"/>
                <w:lang/>
              </w:rPr>
              <w:t>and use intensity</w:t>
            </w:r>
          </w:p>
        </w:tc>
        <w:tc>
          <w:tcPr>
            <w:tcW w:w="1760" w:type="dxa"/>
            <w:tcBorders>
              <w:top w:val="nil"/>
              <w:left w:val="nil"/>
              <w:bottom w:val="nil"/>
              <w:right w:val="nil"/>
            </w:tcBorders>
            <w:shd w:val="clear" w:color="auto" w:fill="auto"/>
            <w:vAlign w:val="bottom"/>
            <w:hideMark/>
          </w:tcPr>
          <w:p w14:paraId="19584F9B"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0,264</w:t>
            </w:r>
          </w:p>
        </w:tc>
        <w:tc>
          <w:tcPr>
            <w:tcW w:w="1940" w:type="dxa"/>
            <w:tcBorders>
              <w:top w:val="nil"/>
              <w:left w:val="nil"/>
              <w:bottom w:val="nil"/>
              <w:right w:val="nil"/>
            </w:tcBorders>
            <w:shd w:val="clear" w:color="auto" w:fill="auto"/>
            <w:vAlign w:val="bottom"/>
            <w:hideMark/>
          </w:tcPr>
          <w:p w14:paraId="6BF2B769"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2,794</w:t>
            </w:r>
          </w:p>
        </w:tc>
        <w:tc>
          <w:tcPr>
            <w:tcW w:w="960" w:type="dxa"/>
            <w:tcBorders>
              <w:top w:val="nil"/>
              <w:left w:val="nil"/>
              <w:bottom w:val="nil"/>
              <w:right w:val="nil"/>
            </w:tcBorders>
            <w:shd w:val="clear" w:color="auto" w:fill="auto"/>
            <w:vAlign w:val="bottom"/>
            <w:hideMark/>
          </w:tcPr>
          <w:p w14:paraId="597329A2"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0,003</w:t>
            </w:r>
          </w:p>
        </w:tc>
        <w:tc>
          <w:tcPr>
            <w:tcW w:w="2600" w:type="dxa"/>
            <w:tcBorders>
              <w:top w:val="nil"/>
              <w:left w:val="nil"/>
              <w:bottom w:val="nil"/>
              <w:right w:val="nil"/>
            </w:tcBorders>
            <w:shd w:val="clear" w:color="auto" w:fill="auto"/>
            <w:vAlign w:val="bottom"/>
            <w:hideMark/>
          </w:tcPr>
          <w:p w14:paraId="32111AAC"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Yes</w:t>
            </w:r>
          </w:p>
        </w:tc>
      </w:tr>
      <w:tr w:rsidR="007708AD" w:rsidRPr="007708AD" w14:paraId="00BC6666" w14:textId="77777777" w:rsidTr="007708AD">
        <w:trPr>
          <w:trHeight w:val="288"/>
        </w:trPr>
        <w:tc>
          <w:tcPr>
            <w:tcW w:w="2440" w:type="dxa"/>
            <w:tcBorders>
              <w:top w:val="nil"/>
              <w:left w:val="nil"/>
              <w:bottom w:val="nil"/>
              <w:right w:val="nil"/>
            </w:tcBorders>
            <w:shd w:val="clear" w:color="auto" w:fill="auto"/>
            <w:vAlign w:val="bottom"/>
            <w:hideMark/>
          </w:tcPr>
          <w:p w14:paraId="0778833C"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Test for Plant diversity</w:t>
            </w:r>
          </w:p>
        </w:tc>
        <w:tc>
          <w:tcPr>
            <w:tcW w:w="1760" w:type="dxa"/>
            <w:tcBorders>
              <w:top w:val="nil"/>
              <w:left w:val="nil"/>
              <w:bottom w:val="nil"/>
              <w:right w:val="nil"/>
            </w:tcBorders>
            <w:shd w:val="clear" w:color="auto" w:fill="auto"/>
            <w:vAlign w:val="bottom"/>
            <w:hideMark/>
          </w:tcPr>
          <w:p w14:paraId="354F58D5"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0,087</w:t>
            </w:r>
          </w:p>
        </w:tc>
        <w:tc>
          <w:tcPr>
            <w:tcW w:w="1940" w:type="dxa"/>
            <w:tcBorders>
              <w:top w:val="nil"/>
              <w:left w:val="nil"/>
              <w:bottom w:val="nil"/>
              <w:right w:val="nil"/>
            </w:tcBorders>
            <w:shd w:val="clear" w:color="auto" w:fill="auto"/>
            <w:vAlign w:val="bottom"/>
            <w:hideMark/>
          </w:tcPr>
          <w:p w14:paraId="400FBA85"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1,127</w:t>
            </w:r>
          </w:p>
        </w:tc>
        <w:tc>
          <w:tcPr>
            <w:tcW w:w="960" w:type="dxa"/>
            <w:tcBorders>
              <w:top w:val="nil"/>
              <w:left w:val="nil"/>
              <w:bottom w:val="nil"/>
              <w:right w:val="nil"/>
            </w:tcBorders>
            <w:shd w:val="clear" w:color="auto" w:fill="auto"/>
            <w:vAlign w:val="bottom"/>
            <w:hideMark/>
          </w:tcPr>
          <w:p w14:paraId="367363AC"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0,130</w:t>
            </w:r>
          </w:p>
        </w:tc>
        <w:tc>
          <w:tcPr>
            <w:tcW w:w="2600" w:type="dxa"/>
            <w:tcBorders>
              <w:top w:val="nil"/>
              <w:left w:val="nil"/>
              <w:bottom w:val="nil"/>
              <w:right w:val="nil"/>
            </w:tcBorders>
            <w:shd w:val="clear" w:color="auto" w:fill="auto"/>
            <w:vAlign w:val="bottom"/>
            <w:hideMark/>
          </w:tcPr>
          <w:p w14:paraId="03C391C8"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No</w:t>
            </w:r>
          </w:p>
        </w:tc>
      </w:tr>
      <w:tr w:rsidR="007708AD" w:rsidRPr="007708AD" w14:paraId="3F4226EE" w14:textId="77777777" w:rsidTr="007708AD">
        <w:trPr>
          <w:trHeight w:val="288"/>
        </w:trPr>
        <w:tc>
          <w:tcPr>
            <w:tcW w:w="2440" w:type="dxa"/>
            <w:tcBorders>
              <w:top w:val="nil"/>
              <w:left w:val="nil"/>
              <w:bottom w:val="nil"/>
              <w:right w:val="nil"/>
            </w:tcBorders>
            <w:shd w:val="clear" w:color="auto" w:fill="auto"/>
            <w:vAlign w:val="bottom"/>
            <w:hideMark/>
          </w:tcPr>
          <w:p w14:paraId="56B10822" w14:textId="5C3F5238"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Test for L</w:t>
            </w:r>
            <w:r>
              <w:rPr>
                <w:rFonts w:ascii="Calibri" w:eastAsia="Times New Roman" w:hAnsi="Calibri" w:cs="Calibri"/>
                <w:color w:val="000000"/>
                <w:lang/>
              </w:rPr>
              <w:t>andscape heterogeneity</w:t>
            </w:r>
          </w:p>
        </w:tc>
        <w:tc>
          <w:tcPr>
            <w:tcW w:w="1760" w:type="dxa"/>
            <w:tcBorders>
              <w:top w:val="nil"/>
              <w:left w:val="nil"/>
              <w:bottom w:val="nil"/>
              <w:right w:val="nil"/>
            </w:tcBorders>
            <w:shd w:val="clear" w:color="auto" w:fill="auto"/>
            <w:vAlign w:val="bottom"/>
            <w:hideMark/>
          </w:tcPr>
          <w:p w14:paraId="6091D937"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0,807</w:t>
            </w:r>
          </w:p>
        </w:tc>
        <w:tc>
          <w:tcPr>
            <w:tcW w:w="1940" w:type="dxa"/>
            <w:tcBorders>
              <w:top w:val="nil"/>
              <w:left w:val="nil"/>
              <w:bottom w:val="nil"/>
              <w:right w:val="nil"/>
            </w:tcBorders>
            <w:shd w:val="clear" w:color="auto" w:fill="auto"/>
            <w:vAlign w:val="bottom"/>
            <w:hideMark/>
          </w:tcPr>
          <w:p w14:paraId="5647089E"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8,004</w:t>
            </w:r>
          </w:p>
        </w:tc>
        <w:tc>
          <w:tcPr>
            <w:tcW w:w="960" w:type="dxa"/>
            <w:tcBorders>
              <w:top w:val="nil"/>
              <w:left w:val="nil"/>
              <w:bottom w:val="nil"/>
              <w:right w:val="nil"/>
            </w:tcBorders>
            <w:shd w:val="clear" w:color="auto" w:fill="auto"/>
            <w:vAlign w:val="bottom"/>
            <w:hideMark/>
          </w:tcPr>
          <w:p w14:paraId="7E2275FA"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0,000</w:t>
            </w:r>
          </w:p>
        </w:tc>
        <w:tc>
          <w:tcPr>
            <w:tcW w:w="2600" w:type="dxa"/>
            <w:tcBorders>
              <w:top w:val="nil"/>
              <w:left w:val="nil"/>
              <w:bottom w:val="nil"/>
              <w:right w:val="nil"/>
            </w:tcBorders>
            <w:shd w:val="clear" w:color="auto" w:fill="auto"/>
            <w:vAlign w:val="bottom"/>
            <w:hideMark/>
          </w:tcPr>
          <w:p w14:paraId="0B14FD32"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Yes</w:t>
            </w:r>
          </w:p>
        </w:tc>
      </w:tr>
      <w:tr w:rsidR="007708AD" w:rsidRPr="007708AD" w14:paraId="6F6EDB76" w14:textId="77777777" w:rsidTr="007708AD">
        <w:trPr>
          <w:trHeight w:val="288"/>
        </w:trPr>
        <w:tc>
          <w:tcPr>
            <w:tcW w:w="2440" w:type="dxa"/>
            <w:tcBorders>
              <w:top w:val="nil"/>
              <w:left w:val="nil"/>
              <w:bottom w:val="nil"/>
              <w:right w:val="nil"/>
            </w:tcBorders>
            <w:shd w:val="clear" w:color="auto" w:fill="auto"/>
            <w:vAlign w:val="bottom"/>
            <w:hideMark/>
          </w:tcPr>
          <w:p w14:paraId="67DC420A"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Test for Bee Richness</w:t>
            </w:r>
          </w:p>
        </w:tc>
        <w:tc>
          <w:tcPr>
            <w:tcW w:w="1760" w:type="dxa"/>
            <w:tcBorders>
              <w:top w:val="nil"/>
              <w:left w:val="nil"/>
              <w:bottom w:val="nil"/>
              <w:right w:val="nil"/>
            </w:tcBorders>
            <w:shd w:val="clear" w:color="auto" w:fill="auto"/>
            <w:vAlign w:val="bottom"/>
            <w:hideMark/>
          </w:tcPr>
          <w:p w14:paraId="07DE61B6"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0,585</w:t>
            </w:r>
          </w:p>
        </w:tc>
        <w:tc>
          <w:tcPr>
            <w:tcW w:w="1940" w:type="dxa"/>
            <w:tcBorders>
              <w:top w:val="nil"/>
              <w:left w:val="nil"/>
              <w:bottom w:val="nil"/>
              <w:right w:val="nil"/>
            </w:tcBorders>
            <w:shd w:val="clear" w:color="auto" w:fill="auto"/>
            <w:vAlign w:val="bottom"/>
            <w:hideMark/>
          </w:tcPr>
          <w:p w14:paraId="7957420E"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5,837</w:t>
            </w:r>
          </w:p>
        </w:tc>
        <w:tc>
          <w:tcPr>
            <w:tcW w:w="960" w:type="dxa"/>
            <w:tcBorders>
              <w:top w:val="nil"/>
              <w:left w:val="nil"/>
              <w:bottom w:val="nil"/>
              <w:right w:val="nil"/>
            </w:tcBorders>
            <w:shd w:val="clear" w:color="auto" w:fill="auto"/>
            <w:vAlign w:val="bottom"/>
            <w:hideMark/>
          </w:tcPr>
          <w:p w14:paraId="238E031B"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0,000</w:t>
            </w:r>
          </w:p>
        </w:tc>
        <w:tc>
          <w:tcPr>
            <w:tcW w:w="2600" w:type="dxa"/>
            <w:tcBorders>
              <w:top w:val="nil"/>
              <w:left w:val="nil"/>
              <w:bottom w:val="nil"/>
              <w:right w:val="nil"/>
            </w:tcBorders>
            <w:shd w:val="clear" w:color="auto" w:fill="auto"/>
            <w:vAlign w:val="bottom"/>
            <w:hideMark/>
          </w:tcPr>
          <w:p w14:paraId="1A19EB91"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Yes</w:t>
            </w:r>
          </w:p>
        </w:tc>
      </w:tr>
      <w:tr w:rsidR="007708AD" w:rsidRPr="007708AD" w14:paraId="18B6D5DF" w14:textId="77777777" w:rsidTr="007708AD">
        <w:trPr>
          <w:trHeight w:val="288"/>
        </w:trPr>
        <w:tc>
          <w:tcPr>
            <w:tcW w:w="2440" w:type="dxa"/>
            <w:tcBorders>
              <w:top w:val="nil"/>
              <w:left w:val="nil"/>
              <w:bottom w:val="nil"/>
              <w:right w:val="nil"/>
            </w:tcBorders>
            <w:shd w:val="clear" w:color="auto" w:fill="auto"/>
            <w:vAlign w:val="bottom"/>
            <w:hideMark/>
          </w:tcPr>
          <w:p w14:paraId="0AE62A24"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Test for Bee diversity</w:t>
            </w:r>
          </w:p>
        </w:tc>
        <w:tc>
          <w:tcPr>
            <w:tcW w:w="1760" w:type="dxa"/>
            <w:tcBorders>
              <w:top w:val="nil"/>
              <w:left w:val="nil"/>
              <w:bottom w:val="nil"/>
              <w:right w:val="nil"/>
            </w:tcBorders>
            <w:shd w:val="clear" w:color="auto" w:fill="auto"/>
            <w:vAlign w:val="bottom"/>
            <w:hideMark/>
          </w:tcPr>
          <w:p w14:paraId="3AEB6CB0"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0,361</w:t>
            </w:r>
          </w:p>
        </w:tc>
        <w:tc>
          <w:tcPr>
            <w:tcW w:w="1940" w:type="dxa"/>
            <w:tcBorders>
              <w:top w:val="nil"/>
              <w:left w:val="nil"/>
              <w:bottom w:val="nil"/>
              <w:right w:val="nil"/>
            </w:tcBorders>
            <w:shd w:val="clear" w:color="auto" w:fill="auto"/>
            <w:vAlign w:val="bottom"/>
            <w:hideMark/>
          </w:tcPr>
          <w:p w14:paraId="74B56BF5"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3,737</w:t>
            </w:r>
          </w:p>
        </w:tc>
        <w:tc>
          <w:tcPr>
            <w:tcW w:w="960" w:type="dxa"/>
            <w:tcBorders>
              <w:top w:val="nil"/>
              <w:left w:val="nil"/>
              <w:bottom w:val="nil"/>
              <w:right w:val="nil"/>
            </w:tcBorders>
            <w:shd w:val="clear" w:color="auto" w:fill="auto"/>
            <w:vAlign w:val="bottom"/>
            <w:hideMark/>
          </w:tcPr>
          <w:p w14:paraId="6EFB95E7"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0,093</w:t>
            </w:r>
          </w:p>
        </w:tc>
        <w:tc>
          <w:tcPr>
            <w:tcW w:w="2600" w:type="dxa"/>
            <w:tcBorders>
              <w:top w:val="nil"/>
              <w:left w:val="nil"/>
              <w:bottom w:val="nil"/>
              <w:right w:val="nil"/>
            </w:tcBorders>
            <w:shd w:val="clear" w:color="auto" w:fill="auto"/>
            <w:vAlign w:val="bottom"/>
            <w:hideMark/>
          </w:tcPr>
          <w:p w14:paraId="44B2C185" w14:textId="77777777" w:rsidR="007708AD" w:rsidRPr="007708AD" w:rsidRDefault="007708AD" w:rsidP="007708AD">
            <w:pPr>
              <w:spacing w:after="0" w:line="240" w:lineRule="auto"/>
              <w:rPr>
                <w:rFonts w:ascii="Calibri" w:eastAsia="Times New Roman" w:hAnsi="Calibri" w:cs="Calibri"/>
                <w:color w:val="000000"/>
                <w:lang/>
              </w:rPr>
            </w:pPr>
            <w:r w:rsidRPr="007708AD">
              <w:rPr>
                <w:rFonts w:ascii="Calibri" w:eastAsia="Times New Roman" w:hAnsi="Calibri" w:cs="Calibri"/>
                <w:color w:val="000000"/>
                <w:lang/>
              </w:rPr>
              <w:t>Yes</w:t>
            </w:r>
          </w:p>
        </w:tc>
      </w:tr>
    </w:tbl>
    <w:p w14:paraId="730A49B1" w14:textId="77777777" w:rsidR="009F1A85" w:rsidRDefault="009F1A85" w:rsidP="003E0F10"/>
    <w:p w14:paraId="37C86C14" w14:textId="77777777" w:rsidR="009F1A85" w:rsidRDefault="009F1A85" w:rsidP="003E0F10"/>
    <w:p w14:paraId="1F80DCBF" w14:textId="77777777" w:rsidR="009F1A85" w:rsidRDefault="009F1A85" w:rsidP="003E0F10"/>
    <w:p w14:paraId="1EAD6DAF" w14:textId="77777777" w:rsidR="009F1A85" w:rsidRDefault="009F1A85" w:rsidP="003E0F10"/>
    <w:p w14:paraId="32AB2AE5" w14:textId="77777777" w:rsidR="009F1A85" w:rsidRDefault="009F1A85" w:rsidP="003E0F10"/>
    <w:p w14:paraId="76942D9D" w14:textId="77777777" w:rsidR="009F1A85" w:rsidRDefault="009F1A85" w:rsidP="003E0F10"/>
    <w:p w14:paraId="7201836D" w14:textId="77777777" w:rsidR="009F1A85" w:rsidRDefault="009F1A85" w:rsidP="003E0F10"/>
    <w:p w14:paraId="2D3E6776" w14:textId="77777777" w:rsidR="009F1A85" w:rsidRDefault="009F1A85" w:rsidP="003E0F10"/>
    <w:p w14:paraId="2122AEBC" w14:textId="77777777" w:rsidR="00363049" w:rsidRDefault="00363049" w:rsidP="003E0F10"/>
    <w:p w14:paraId="7AC29F1E" w14:textId="77777777" w:rsidR="00363049" w:rsidRDefault="00363049" w:rsidP="003E0F10"/>
    <w:p w14:paraId="391F17BB" w14:textId="77777777" w:rsidR="00363049" w:rsidRDefault="00363049" w:rsidP="003E0F10"/>
    <w:p w14:paraId="018CE394" w14:textId="77777777" w:rsidR="00363049" w:rsidRDefault="00363049" w:rsidP="003E0F10"/>
    <w:p w14:paraId="3C5D1432" w14:textId="77777777" w:rsidR="00363049" w:rsidRDefault="00363049" w:rsidP="003E0F10"/>
    <w:p w14:paraId="6A8E058F" w14:textId="77777777" w:rsidR="009F1A85" w:rsidRPr="003E0F10" w:rsidRDefault="009F1A85" w:rsidP="003E0F10"/>
    <w:p w14:paraId="2FF7FAF6" w14:textId="77777777" w:rsidR="001D7BFC" w:rsidRDefault="001D7BFC" w:rsidP="00FD3697">
      <w:pPr>
        <w:pStyle w:val="Heading3"/>
      </w:pPr>
    </w:p>
    <w:p w14:paraId="2FA380AB" w14:textId="66BAE5AC" w:rsidR="00EE53AA" w:rsidRPr="00CF4C2B" w:rsidRDefault="00FD3697" w:rsidP="00FD3697">
      <w:pPr>
        <w:pStyle w:val="Heading3"/>
        <w:rPr>
          <w:color w:val="auto"/>
        </w:rPr>
      </w:pPr>
      <w:r w:rsidRPr="00CF4C2B">
        <w:rPr>
          <w:color w:val="auto"/>
        </w:rPr>
        <w:t xml:space="preserve">Protocol 2: Barcoding and Metabarcoding Protocol </w:t>
      </w:r>
    </w:p>
    <w:p w14:paraId="6AC7E892" w14:textId="77777777" w:rsidR="00FD3697" w:rsidRPr="00FD3697" w:rsidRDefault="00FD3697" w:rsidP="00FD3697"/>
    <w:p w14:paraId="13BE3823" w14:textId="77777777" w:rsidR="00FD3697" w:rsidRDefault="00FD3697" w:rsidP="00FD3697">
      <w:pPr>
        <w:spacing w:after="240" w:line="360" w:lineRule="auto"/>
        <w:jc w:val="both"/>
        <w:rPr>
          <w:rFonts w:cstheme="minorHAnsi"/>
          <w:sz w:val="24"/>
          <w:szCs w:val="24"/>
        </w:rPr>
      </w:pPr>
      <w:r>
        <w:rPr>
          <w:rFonts w:cstheme="minorHAnsi"/>
          <w:sz w:val="24"/>
          <w:szCs w:val="24"/>
        </w:rPr>
        <w:t xml:space="preserve">We used VSEARCH v2.14.2 </w:t>
      </w:r>
      <w:r>
        <w:rPr>
          <w:rFonts w:cstheme="minorHAnsi"/>
          <w:sz w:val="24"/>
          <w:szCs w:val="24"/>
        </w:rPr>
        <w:fldChar w:fldCharType="begin"/>
      </w:r>
      <w:r>
        <w:rPr>
          <w:rFonts w:cstheme="minorHAnsi"/>
          <w:sz w:val="24"/>
          <w:szCs w:val="24"/>
        </w:rPr>
        <w:instrText xml:space="preserve"> ADDIN ZOTERO_ITEM CSL_CITATION {"citationID":"lmujUsLg","properties":{"formattedCitation":"(Rognes et al., 2016)","plainCitation":"(Rognes et al., 2016)","noteIndex":0},"citationItems":[{"id":3341,"uris":["http://zotero.org/users/2814850/items/MWQ5B8RZ"],"itemData":{"id":3341,"type":"article-journal","abstract":"Background\nVSEARCH is an open source and free of charge multithreaded 64-bit tool for processing and preparing metagenomics, genomics and population genomics nucleotide sequence data. It is designed as an alternative to the widely used USEARCH tool (Edgar, 2010) for which the source code is not publicly available, algorithm details are only rudimentarily described, and only a memory-confined 32-bit version is freely available for academic use.\n\n\nMethods\nWhen searching nucleotide sequences, VSEARCH uses a fast heuristic based on words shared by the query and target sequences in order to quickly identify similar sequences, a similar strategy is probably used in USEARCH. VSEARCH then performs optimal global sequence alignment of the query against potential target sequences, using full dynamic programming instead of the seed-and-extend heuristic used by USEARCH. Pairwise alignments are computed in parallel using vectorisation and multiple threads.\n\n\nResults\nVSEARCH includes most commands for analysing nucleotide sequences available in USEARCH version 7 and several of those available in USEARCH version 8, including searching (exact or based on global alignment), clustering by similarity (using length pre-sorting, abundance pre-sorting or a user-defined order), chimera detection (reference-based or de novo), dereplication (full length or prefix), pairwise alignment, reverse complementation, sorting, and subsampling. VSEARCH also includes commands for FASTQ file processing, i.e., format detection, filtering, read quality statistics, and merging of paired reads. Furthermore, VSEARCH extends functionality with several new commands and improvements, including shuffling, rereplication, masking of low-complexity sequences with the well-known DUST algorithm, a choice among different similarity definitions, and FASTQ file format conversion. VSEARCH is here shown to be more accurate than USEARCH when performing searching, clustering, chimera detection and subsampling, while on a par with USEARCH for paired-ends read merging. VSEARCH is slower than USEARCH when performing clustering and chimera detection, but significantly faster when performing paired-end reads merging and dereplication. VSEARCH is available at https://github.com/torognes/vsearch under either the BSD 2-clause license or the GNU General Public License version 3.0.\n\n\nDiscussion\nVSEARCH has been shown to be a fast, accurate and full-fledged alternative to USEARCH. A free and open-source versatile tool for sequence analysis is now available to the metagenomics community.","container-title":"PeerJ","DOI":"10.7717/peerj.2584","ISSN":"2167-8359","journalAbbreviation":"PeerJ","page":"e2584","title":"VSEARCH: a versatile open source tool for metagenomics","volume":"4","author":[{"family":"Rognes","given":"Torbjørn"},{"family":"Flouri","given":"Tomáš"},{"family":"Nichols","given":"Ben"},{"family":"Quince","given":"Christopher"},{"family":"Mahé","given":"Frédéric"}],"editor":[{"family":"Hrbek","given":"Tomas"}],"issued":{"date-parts":[["2016",10,18]]}}}],"schema":"https://github.com/citation-style-language/schema/raw/master/csl-citation.json"} </w:instrText>
      </w:r>
      <w:r>
        <w:rPr>
          <w:rFonts w:cstheme="minorHAnsi"/>
          <w:sz w:val="24"/>
          <w:szCs w:val="24"/>
        </w:rPr>
        <w:fldChar w:fldCharType="separate"/>
      </w:r>
      <w:r w:rsidRPr="0088043A">
        <w:rPr>
          <w:rFonts w:ascii="Calibri" w:hAnsi="Calibri" w:cs="Calibri"/>
          <w:sz w:val="24"/>
        </w:rPr>
        <w:t>(Rognes et al., 2016)</w:t>
      </w:r>
      <w:r>
        <w:rPr>
          <w:rFonts w:cstheme="minorHAnsi"/>
          <w:sz w:val="24"/>
          <w:szCs w:val="24"/>
        </w:rPr>
        <w:fldChar w:fldCharType="end"/>
      </w:r>
      <w:r w:rsidRPr="00BD7398">
        <w:rPr>
          <w:rFonts w:cstheme="minorHAnsi"/>
          <w:sz w:val="24"/>
          <w:szCs w:val="24"/>
        </w:rPr>
        <w:t xml:space="preserve"> to join paired ends of forward and reverse reads. We also used VSEARCH to remove reads shorter than 150bp, quality filtering (EE &lt; 1</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{"citationID":"ZDbbbRPx","properties":{"formattedCitation":"(Edgar &amp; Flyvbjerg, 2015)","plainCitation":"(Edgar &amp; Flyvbjerg, 2015)","noteIndex":0},"citationItems":[{"id":3355,"uris":["http://zotero.org/users/2814850/items/MPZWZ39H"],"itemData":{"id":3355,"type":"article-journal","abstract":"Motivation: Next-generation sequencing produces vast amounts of data with errors that are difficult to distinguish from true biological variation when coverage is low.Results: We demonstrate large reductions in error frequencies, especially for high-error-rate reads, by three independent means: (i) filtering reads according to their expected number of errors, (ii) assembling overlapping read pairs and (iii) for amplicon reads, by exploiting unique sequence abundances to perform error correction. We also show that most published paired read assemblers calculate incorrect posterior quality scores.Availability and implementation: These methods are implemented in the USEARCH package. Binaries are freely available at http://drive5.com/usearch.Contact:robert@drive5.comSupplementary information: Supplementary data are available at Bioinformatics online.","container-title":"Bioinformatics","DOI":"10.1093/bioinformatics/btv401","ISSN":"1367-4803","issue":"21","journalAbbreviation":"Bioinformatics","page":"3476-3482","title":"Error filtering, pair assembly and error correction for next-generation sequencing reads","volume":"31","author":[{"family":"Edgar","given":"Robert C."},{"family":"Flyvbjerg","given":"Henrik"}],"issued":{"date-parts":[["2015",11,1]]}}}],"schema":"https://github.com/citation-style-language/schema/raw/master/csl-citation.json"} </w:instrText>
      </w:r>
      <w:r>
        <w:rPr>
          <w:rFonts w:cstheme="minorHAnsi"/>
          <w:sz w:val="24"/>
          <w:szCs w:val="24"/>
        </w:rPr>
        <w:fldChar w:fldCharType="separate"/>
      </w:r>
      <w:r w:rsidRPr="0088043A">
        <w:rPr>
          <w:rFonts w:ascii="Calibri" w:hAnsi="Calibri" w:cs="Calibri"/>
          <w:sz w:val="24"/>
        </w:rPr>
        <w:t>(Edgar &amp; Flyvbjerg, 2015)</w:t>
      </w:r>
      <w:r>
        <w:rPr>
          <w:rFonts w:cstheme="minorHAnsi"/>
          <w:sz w:val="24"/>
          <w:szCs w:val="24"/>
        </w:rPr>
        <w:fldChar w:fldCharType="end"/>
      </w:r>
      <w:r w:rsidRPr="00BD7398">
        <w:rPr>
          <w:rFonts w:cstheme="minorHAnsi"/>
          <w:sz w:val="24"/>
          <w:szCs w:val="24"/>
        </w:rPr>
        <w:t xml:space="preserve">, </w:t>
      </w:r>
      <w:r w:rsidRPr="00BD7398">
        <w:rPr>
          <w:rFonts w:cstheme="minorHAnsi"/>
          <w:i/>
          <w:iCs/>
          <w:sz w:val="24"/>
          <w:szCs w:val="24"/>
        </w:rPr>
        <w:t>de-novo</w:t>
      </w:r>
      <w:r w:rsidRPr="00BD7398">
        <w:rPr>
          <w:rFonts w:cstheme="minorHAnsi"/>
          <w:sz w:val="24"/>
          <w:szCs w:val="24"/>
        </w:rPr>
        <w:t xml:space="preserve"> chimera filtering (following UCHIME3)</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{"citationID":"KtfEh6dn","properties":{"formattedCitation":"(Edgar, 2016b)","plainCitation":"(Edgar, 2016b)","noteIndex":0},"citationItems":[{"id":3367,"uris":["http://zotero.org/users/2814850/items/7EJ48QN2"],"itemData":{"id":3367,"type":"article-journal","abstract":"Amplicon sequencing generates chimeric reads which can cause spurious inferences of biological variation. I describe UCHIME2, an update of the popular UCHIME chimera detection algorithm with new modes optimized for high-resolution biological sequence reconstruction (“denoising”) and other applications. I show that chimera frequency correlates inversely with divergence, that error-free chimera prediction from sequence is impossible in principle, and that UCHIME2 achieves higher detection accuracy than previous methods.","container-title":"bioRxiv","DOI":"10.1101/074252","page":"074252","title":"UCHIME2: improved chimera prediction for amplicon sequencing","author":[{"family":"Edgar","given":"Robert C."}],"issued":{"date-parts":[["2016",1,1]]}}}],"schema":"https://github.com/citation-style-language/schema/raw/master/csl-citation.json"} </w:instrText>
      </w:r>
      <w:r>
        <w:rPr>
          <w:rFonts w:cstheme="minorHAnsi"/>
          <w:sz w:val="24"/>
          <w:szCs w:val="24"/>
        </w:rPr>
        <w:fldChar w:fldCharType="separate"/>
      </w:r>
      <w:r w:rsidRPr="0088043A">
        <w:rPr>
          <w:rFonts w:ascii="Calibri" w:hAnsi="Calibri" w:cs="Calibri"/>
          <w:sz w:val="24"/>
        </w:rPr>
        <w:t>(Edgar, 2016b)</w:t>
      </w:r>
      <w:r>
        <w:rPr>
          <w:rFonts w:cstheme="minorHAnsi"/>
          <w:sz w:val="24"/>
          <w:szCs w:val="24"/>
        </w:rPr>
        <w:fldChar w:fldCharType="end"/>
      </w:r>
      <w:r w:rsidRPr="00BD7398">
        <w:rPr>
          <w:rFonts w:cstheme="minorHAnsi"/>
          <w:sz w:val="24"/>
          <w:szCs w:val="24"/>
        </w:rPr>
        <w:t xml:space="preserve"> and determination of amplicon sequence variants (ASVs) as previously done for pollen metabarcoding networks</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{"citationID":"FHiVMMxA","properties":{"formattedCitation":"(Martins et al., 2023)","plainCitation":"(Martins et al., 2023)","noteIndex":0},"citationItems":[{"id":31,"uris":["http://zotero.org/users/2814850/items/MWZ2K9BG"],"itemData":{"id":31,"type":"article-journal","abstract":"Stingless bees are major flower visitors in the tropics, but their foraging preferences and behavior are still poorly understood. Studying stingless bee  interactions with angiosperms is methodologically challenging due to the high  tropical plant diversity and inaccessibility of upper canopy flowers in forested  habitats. Pollen DNA metabarcoding offers an opportunity of assessing floral  visitation efficiently and was applied here to understand stingless bee floral  resources spectra and foraging behavior. We analyzed pollen and honey from nests  of three distantly related stingless bee species, with different body size and  social behavior: Melipona rufiventris, Scaptotrigona postica and Tetragonisca  angustula. Simultaneously, we evaluate the local floristic components through  seventeen rapid botanical surveys conducted at different distances from the  nests. We discovered a broad set of explored floral sources, with 46.3 plant  species per bee species in honey samples and 53.67 in pollen samples. Plant  families Myrtaceae, Asteraceae, Euphorbiaceae, Melastomataceae and Malpighiaceae  dominated the records, indicating stingless bee preferences for abundant  resources that flowers of these families provide in the region. Results also  reinforce the preference of stingless bees for forest trees, even if only  available at long distances. Our high-resolution results encourage future  bee-plant studies using pollen and honey metabarcoding in hyper-diverse tropical  environments.","container-title":"Scientific reports","DOI":"10.1038/s41598-023-41304-0","ISSN":"2045-2322","issue":"1","journalAbbreviation":"Sci Rep","language":"eng","license":"© 2023. Springer Nature Limited.","note":"publisher-place: England\nPMID: 37660141 \nPMCID: PMC10475120","page":"14474","title":"Contrasting patterns of foraging behavior in neotropical stingless bees using pollen and honey metabarcoding.","volume":"13","author":[{"family":"Martins","given":"Aline C."},{"family":"Proença","given":"Carolyn E. B."},{"family":"Vasconcelos","given":"Thais N. C."},{"family":"Aguiar","given":"Antonio J. C."},{"family":"Farinasso","given":"Hannah C."},{"family":"Lima","given":"Aluisio T. F.","non-dropping-particle":"de"},{"family":"Faria","given":"Jair E. Q."},{"family":"Norrana","given":"Krissya"},{"family":"Costa","given":"Marcella B. R."},{"family":"Carvalho","given":"Matheus M."},{"family":"Dias","given":"Rodrigo L."},{"family":"Bustamante","given":"Mercedes M. C."},{"family":"Carvalho","given":"Fernanda A."},{"family":"Keller","given":"Alexander"}],"issued":{"date-parts":[["2023",9,2]]}}}],"schema":"https://github.com/citation-style-language/schema/raw/master/csl-citation.json"} </w:instrText>
      </w:r>
      <w:r>
        <w:rPr>
          <w:rFonts w:cstheme="minorHAnsi"/>
          <w:sz w:val="24"/>
          <w:szCs w:val="24"/>
        </w:rPr>
        <w:fldChar w:fldCharType="separate"/>
      </w:r>
      <w:r w:rsidRPr="0088043A">
        <w:rPr>
          <w:rFonts w:ascii="Calibri" w:hAnsi="Calibri" w:cs="Calibri"/>
          <w:sz w:val="24"/>
        </w:rPr>
        <w:t>(Martins et al., 2023)</w:t>
      </w:r>
      <w:r>
        <w:rPr>
          <w:rFonts w:cstheme="minorHAnsi"/>
          <w:sz w:val="24"/>
          <w:szCs w:val="24"/>
        </w:rPr>
        <w:fldChar w:fldCharType="end"/>
      </w:r>
      <w:r>
        <w:rPr>
          <w:rFonts w:cstheme="minorHAnsi"/>
          <w:sz w:val="24"/>
          <w:szCs w:val="24"/>
        </w:rPr>
        <w:t xml:space="preserve">. </w:t>
      </w:r>
      <w:sdt>
        <w:sdtPr>
          <w:rPr>
            <w:rFonts w:cstheme="minorHAnsi"/>
            <w:sz w:val="24"/>
            <w:szCs w:val="24"/>
          </w:rPr>
          <w:tag w:val="goog_rdk_2"/>
          <w:id w:val="760720310"/>
        </w:sdtPr>
        <w:sdtEndPr/>
        <w:sdtContent/>
      </w:sdt>
      <w:r w:rsidRPr="00BD7398">
        <w:rPr>
          <w:rFonts w:cstheme="minorHAnsi"/>
          <w:sz w:val="24"/>
          <w:szCs w:val="24"/>
        </w:rPr>
        <w:t xml:space="preserve">Reads were first directly mapped iteratively with global alignments using VSEARCH against </w:t>
      </w:r>
      <w:r>
        <w:rPr>
          <w:rFonts w:cstheme="minorHAnsi"/>
          <w:sz w:val="24"/>
          <w:szCs w:val="24"/>
        </w:rPr>
        <w:t>a</w:t>
      </w:r>
      <w:r w:rsidRPr="00BD7398">
        <w:rPr>
          <w:rFonts w:cstheme="minorHAnsi"/>
          <w:sz w:val="24"/>
          <w:szCs w:val="24"/>
        </w:rPr>
        <w:t xml:space="preserve"> floral ITS2 reference databases for the study region</w:t>
      </w:r>
      <w:r>
        <w:rPr>
          <w:rFonts w:cstheme="minorHAnsi"/>
          <w:sz w:val="24"/>
          <w:szCs w:val="24"/>
        </w:rPr>
        <w:t xml:space="preserve"> </w:t>
      </w:r>
      <w:r w:rsidRPr="00BD7398">
        <w:rPr>
          <w:rFonts w:cstheme="minorHAnsi"/>
          <w:sz w:val="24"/>
          <w:szCs w:val="24"/>
        </w:rPr>
        <w:t>an identity cut-off threshold of 97%</w:t>
      </w:r>
      <w:r>
        <w:rPr>
          <w:rFonts w:cstheme="minorHAnsi"/>
          <w:sz w:val="24"/>
          <w:szCs w:val="24"/>
        </w:rPr>
        <w:t>. This database was created with BCdatabaser</w:t>
      </w:r>
      <w:r w:rsidRPr="00BD7398">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{"citationID":"WvkKDESB","properties":{"formattedCitation":"(Keller et al., 2020)","plainCitation":"(Keller et al., 2020)","noteIndex":0},"citationItems":[{"id":3350,"uris":["http://zotero.org/users/2814850/items/LALZKHW5"],"itemData":{"id":3350,"type":"article-journal","abstract":"DNA barcoding and meta-barcoding have become irreplaceable in research and applications, where identification of taxa alone or within a mixture, respectively, becomes relevant. Pioneering studies were in the microbiological context, yet nowadays also plants and animals become targeted. Given the variety of markers used, formatting requirements for classifiers and constant growth of primary databases, there is a need for dedicated reference database creation. We developed a web and command-line interface to generate such on-the-fly for any applicable marker and taxonomic group with optional filtering, formatting and restriction specific for (meta-)barcoding purposes. Also, databases optionally receive a DOI, making them well-documented with meta-data, publicly sharable and citable.source code: https://www.github.com/molbiodiv/bcdatabaser, webservice: https://bcdatabaser.molecular.eco, documentation: https://molbiodiv.github.io/bcdatabaser.","container-title":"Bioinformatics","DOI":"10.1093/bioinformatics/btz960","ISSN":"1367-4803","issue":"8","journalAbbreviation":"Bioinformatics","page":"2630-2631","title":"BCdatabaser: on-the-fly reference database creation for (meta-)barcoding","volume":"36","author":[{"family":"Keller","given":"Alexander"},{"family":"Hohlfeld","given":"Sonja"},{"family":"Kolter","given":"Andreas"},{"family":"Schultz","given":"Jörg"},{"family":"Gemeinholzer","given":"Birgit"},{"family":"Ankenbrand","given":"Markus J"}],"issued":{"date-parts":[["2020",4,15]]}}}],"schema":"https://github.com/citation-style-language/schema/raw/master/csl-citation.json"} </w:instrText>
      </w:r>
      <w:r>
        <w:rPr>
          <w:rFonts w:cstheme="minorHAnsi"/>
          <w:sz w:val="24"/>
          <w:szCs w:val="24"/>
        </w:rPr>
        <w:fldChar w:fldCharType="separate"/>
      </w:r>
      <w:r w:rsidRPr="0088043A">
        <w:rPr>
          <w:rFonts w:ascii="Calibri" w:hAnsi="Calibri" w:cs="Calibri"/>
          <w:sz w:val="24"/>
        </w:rPr>
        <w:t>(Keller et al., 2020)</w:t>
      </w:r>
      <w:r>
        <w:rPr>
          <w:rFonts w:cstheme="minorHAnsi"/>
          <w:sz w:val="24"/>
          <w:szCs w:val="24"/>
        </w:rPr>
        <w:fldChar w:fldCharType="end"/>
      </w:r>
      <w:r>
        <w:rPr>
          <w:rFonts w:cstheme="minorHAnsi"/>
          <w:sz w:val="24"/>
          <w:szCs w:val="24"/>
        </w:rPr>
        <w:t xml:space="preserve"> </w:t>
      </w:r>
      <w:r w:rsidRPr="00BD7398">
        <w:rPr>
          <w:rFonts w:cstheme="minorHAnsi"/>
          <w:sz w:val="24"/>
          <w:szCs w:val="24"/>
        </w:rPr>
        <w:t xml:space="preserve">and </w:t>
      </w:r>
      <w:r>
        <w:rPr>
          <w:rFonts w:cstheme="minorHAnsi"/>
          <w:sz w:val="24"/>
          <w:szCs w:val="24"/>
        </w:rPr>
        <w:t xml:space="preserve">a species list of Central Europe and curated </w:t>
      </w:r>
      <w:r>
        <w:rPr>
          <w:rFonts w:cstheme="minorHAnsi"/>
          <w:sz w:val="24"/>
          <w:szCs w:val="24"/>
        </w:rPr>
        <w:fldChar w:fldCharType="begin"/>
      </w:r>
      <w:r>
        <w:rPr>
          <w:rFonts w:cstheme="minorHAnsi"/>
          <w:sz w:val="24"/>
          <w:szCs w:val="24"/>
        </w:rPr>
        <w:instrText xml:space="preserve"> ADDIN ZOTERO_ITEM CSL_CITATION {"citationID":"vbUGhaPh","properties":{"formattedCitation":"(Quaresma et al., 2024)","plainCitation":"(Quaresma et al., 2024)","noteIndex":0},"citationItems":[{"id":6231,"uris":["http://zotero.org/users/2814850/items/Z6DGA36R"],"itemData":{"id":6231,"type":"article-journal","abstract":"One of the most critical steps for accurate taxonomic identification in DNA (meta)-barcoding is to have an accurate DNA reference sequence dataset for the marker of choice. Therefore, developing such a dataset has been a long-term ambition, especially in the Viridiplantae kingdom. Typically, reference datasets are constructed with sequences downloaded from general public databases, which can carry taxonomic and other relevant errors. Herein, we constructed a curated (i) global dataset, (ii) European crop dataset, and (iii) 27 datasets for the EU countries for the ITS2 barcoding marker of vascular plants. To that end, we first developed a pipeline script that entails (i) an automated curation stage comprising five filters, (ii) manual taxonomic correction for misclassified taxa, and (iii) manual addition of newly sequenced species. The pipeline allows easy updating of the curated datasets. With this approach, 13% of the sequences, corresponding to 7% of species originally imported from GenBank, were discarded. Further, 259 sequences were manually added to the curated global dataset, which now comprises 307,977 sequences of 111,382 plant species.","container-title":"Scientific Data","DOI":"10.1038/s41597-024-02962-5","ISSN":"2052-4463","issue":"1","journalAbbreviation":"Scientific Data","page":"129","title":"Semi-automated sequence curation for reliable reference datasets in ITS2 vascular plant DNA (meta-)barcoding","volume":"11","author":[{"family":"Quaresma","given":"Andreia"},{"family":"Ankenbrand","given":"Markus J."},{"family":"Garcia","given":"Carlos Ariel Yadró"},{"family":"Rufino","given":"José"},{"family":"Honrado","given":"Mónica"},{"family":"Amaral","given":"Joana"},{"family":"Brodschneider","given":"Robert"},{"family":"Brusbardis","given":"Valters"},{"family":"Gratzer","given":"Kristina"},{"family":"Hatjina","given":"Fani"},{"family":"Kilpinen","given":"Ole"},{"family":"Pietropaoli","given":"Marco"},{"family":"Roessink","given":"Ivo"},{"family":"Steen","given":"Jozef","non-dropping-particle":"van der"},{"family":"Vejsnæs","given":"Flemming"},{"family":"Pinto","given":"M. Alice"},{"family":"Keller","given":"Alexander"}],"issued":{"date-parts":[["2024",1,25]]}}}],"schema":"https://github.com/citation-style-language/schema/raw/master/csl-citation.json"} </w:instrText>
      </w:r>
      <w:r>
        <w:rPr>
          <w:rFonts w:cstheme="minorHAnsi"/>
          <w:sz w:val="24"/>
          <w:szCs w:val="24"/>
        </w:rPr>
        <w:fldChar w:fldCharType="separate"/>
      </w:r>
      <w:r w:rsidRPr="00F90435">
        <w:rPr>
          <w:rFonts w:ascii="Calibri" w:hAnsi="Calibri" w:cs="Calibri"/>
          <w:sz w:val="24"/>
        </w:rPr>
        <w:t>(Quaresma et al., 2024)</w:t>
      </w:r>
      <w:r>
        <w:rPr>
          <w:rFonts w:cstheme="minorHAnsi"/>
          <w:sz w:val="24"/>
          <w:szCs w:val="24"/>
        </w:rPr>
        <w:fldChar w:fldCharType="end"/>
      </w:r>
      <w:r>
        <w:rPr>
          <w:rFonts w:cstheme="minorHAnsi"/>
          <w:sz w:val="24"/>
          <w:szCs w:val="24"/>
        </w:rPr>
        <w:t xml:space="preserve">. For species that could not be assigned to species level with this procedure, a hierarchical classification with the SINTAX </w:t>
      </w:r>
      <w:r>
        <w:rPr>
          <w:rFonts w:cstheme="minorHAnsi"/>
          <w:sz w:val="24"/>
          <w:szCs w:val="24"/>
        </w:rPr>
        <w:fldChar w:fldCharType="begin"/>
      </w:r>
      <w:r>
        <w:rPr>
          <w:rFonts w:cstheme="minorHAnsi"/>
          <w:sz w:val="24"/>
          <w:szCs w:val="24"/>
        </w:rPr>
        <w:instrText xml:space="preserve"> ADDIN ZOTERO_ITEM CSL_CITATION {"citationID":"bIVNbLSL","properties":{"formattedCitation":"(Edgar, 2016a)","plainCitation":"(Edgar, 2016a)","noteIndex":0},"citationItems":[{"id":3364,"uris":["http://zotero.org/users/2814850/items/SEQCHVI3"],"itemData":{"id":3364,"type":"article-journal","abstract":"Metagenomics experiments often characterize microbial communities by sequencing the ribosomal 16S and ITS regions. Taxonomy prediction is a fundamental step in such studies. The SINTAX algorithm predicts taxonomy by using k-mer similarity to identify the top hit in a reference database and provides bootstrap confidence for all ranks in the prediction. SINTAX achieves comparable or better accuracy to the RDP Naive Bayesian Classifier with a simpler algorithm that does not require training. Most tested methods are shown to have high rates of over-classification errors where novel taxa are incorrectly predicted to have known names.","container-title":"bioRxiv","DOI":"10.1101/074161","page":"074161","title":"SINTAX: a simple non-Bayesian taxonomy classifier for 16S and ITS sequences","author":[{"family":"Edgar","given":"Robert C."}],"issued":{"date-parts":[["2016",1,1]]}}}],"schema":"https://github.com/citation-style-language/schema/raw/master/csl-citation.json"} </w:instrText>
      </w:r>
      <w:r>
        <w:rPr>
          <w:rFonts w:cstheme="minorHAnsi"/>
          <w:sz w:val="24"/>
          <w:szCs w:val="24"/>
        </w:rPr>
        <w:fldChar w:fldCharType="separate"/>
      </w:r>
      <w:r w:rsidRPr="0088043A">
        <w:rPr>
          <w:rFonts w:ascii="Calibri" w:hAnsi="Calibri" w:cs="Calibri"/>
          <w:sz w:val="24"/>
        </w:rPr>
        <w:t>(Edgar, 2016a)</w:t>
      </w:r>
      <w:r>
        <w:rPr>
          <w:rFonts w:cstheme="minorHAnsi"/>
          <w:sz w:val="24"/>
          <w:szCs w:val="24"/>
        </w:rPr>
        <w:fldChar w:fldCharType="end"/>
      </w:r>
      <w:r>
        <w:rPr>
          <w:rFonts w:cstheme="minorHAnsi"/>
          <w:sz w:val="24"/>
          <w:szCs w:val="24"/>
        </w:rPr>
        <w:t xml:space="preserve"> in VSEARCH was performed using a curated global database on genus level </w:t>
      </w:r>
      <w:r>
        <w:rPr>
          <w:rFonts w:cstheme="minorHAnsi"/>
          <w:sz w:val="24"/>
          <w:szCs w:val="24"/>
        </w:rPr>
        <w:fldChar w:fldCharType="begin"/>
      </w:r>
      <w:r>
        <w:rPr>
          <w:rFonts w:cstheme="minorHAnsi"/>
          <w:sz w:val="24"/>
          <w:szCs w:val="24"/>
        </w:rPr>
        <w:instrText xml:space="preserve"> ADDIN ZOTERO_ITEM CSL_CITATION {"citationID":"QSPjySCw","properties":{"formattedCitation":"(Andreia Quaresma et al., 2023)","plainCitation":"(Andreia Quaresma et al., 2023)","dontUpdate":true,"noteIndex":0},"citationItems":[{"id":29,"uris":["http://zotero.org/users/2814850/items/QJ4J7TDA"],"itemData":{"id":29,"type":"article-journal","abstract":"With the breakthrough of DNA (meta)-barcoding, it soon became clear that one of the most critical steps for accurate taxonomic identification is to have an accurate DNA reference database for the DNA barcode marker of choice. Therefore, developing such a database has been a long-term ambition, especially in the Viridiplantae kingdom. Typically, reference databases are constructed from marker sequences downloaded from general public databases, which can carry taxonomic and other relevant errors. Herein, we constructed a curated (i) global database, (ii) European crop database, and (iii) 27 databases for the EU countries for the ITS2 barcoding marker of vascular plants. To that end, we first developed a pipeline script that entails (i) an automated curation stage comprising five filters, (ii) manual taxonomic correction for misclassified taxa, and (iii) manual addition of newly sequenced species. The pipeline allows easy updating of the curated global database. With this approach, 13% of the sequences, corresponding to 7% of species, originally imported from GenBank were discarded. Further, 259 sequences were newly added to the curated global database, which now comprises 307,977 sequences of 111,382 plant species.Competing Interest StatementThe authors have declared no competing interest.","container-title":"bioRxiv","DOI":"10.1101/2023.06.12.544582","page":"2023.06.12.544582","title":"Semi-automated curation and manual addition of sequences to build reliable and extensive reference databases for ITS2 vascular plant DNA (meta-)barcoding","author":[{"family":"Quaresma","given":"Andreia"},{"family":"Garcia","given":"Carlos Ariel Yadró"},{"family":"Rufino","given":"José"},{"family":"Honrado","given":"Mónica"},{"family":"Amaral","given":"Joana"},{"family":"Brodschneider","given":"Robert"},{"family":"Brusbardis","given":"Valters"},{"family":"Gratzer","given":"Kristina"},{"family":"Hatjina","given":"Fani"},{"family":"Kilpinen","given":"Ole"},{"family":"Pietropaoli","given":"Marco"},{"family":"Roessink","given":"Ivo"},{"family":"Steen","given":"Jozef","dropping-particle":"van der"},{"family":"Vejsnæs","given":"Flemming"},{"family":"Pinto","given":"M. Alice"},{"family":"Keller","given":"Alexander"}],"issued":{"date-parts":[["2023",1,1]]}}}],"schema":"https://github.com/citation-style-language/schema/raw/master/csl-citation.json"} </w:instrText>
      </w:r>
      <w:r>
        <w:rPr>
          <w:rFonts w:cstheme="minorHAnsi"/>
          <w:sz w:val="24"/>
          <w:szCs w:val="24"/>
        </w:rPr>
        <w:fldChar w:fldCharType="separate"/>
      </w:r>
      <w:r w:rsidRPr="0088043A">
        <w:rPr>
          <w:rFonts w:ascii="Calibri" w:hAnsi="Calibri" w:cs="Calibri"/>
          <w:sz w:val="24"/>
        </w:rPr>
        <w:t>(Quaresma et al., 2023)</w:t>
      </w:r>
      <w:r>
        <w:rPr>
          <w:rFonts w:cstheme="minorHAnsi"/>
          <w:sz w:val="24"/>
          <w:szCs w:val="24"/>
        </w:rPr>
        <w:fldChar w:fldCharType="end"/>
      </w:r>
      <w:r>
        <w:rPr>
          <w:rFonts w:cstheme="minorHAnsi"/>
          <w:sz w:val="24"/>
          <w:szCs w:val="24"/>
        </w:rPr>
        <w:t xml:space="preserve">. </w:t>
      </w:r>
    </w:p>
    <w:p w14:paraId="1CC36432" w14:textId="77777777" w:rsidR="006A7603" w:rsidRDefault="006A7603" w:rsidP="00FD3697">
      <w:pPr>
        <w:pStyle w:val="Heading3"/>
      </w:pPr>
    </w:p>
    <w:p w14:paraId="40180DD7" w14:textId="1BE4349E" w:rsidR="00FD3697" w:rsidRPr="00CF4C2B" w:rsidRDefault="00FD3697" w:rsidP="00FD3697">
      <w:pPr>
        <w:pStyle w:val="Heading3"/>
        <w:rPr>
          <w:color w:val="auto"/>
        </w:rPr>
      </w:pPr>
      <w:r w:rsidRPr="00CF4C2B">
        <w:rPr>
          <w:color w:val="auto"/>
        </w:rPr>
        <w:t>Protocol 3: Details on environmental and bee foraging trait variables</w:t>
      </w:r>
    </w:p>
    <w:p w14:paraId="73AE0AC8" w14:textId="77777777" w:rsidR="00FD3697" w:rsidRPr="00CF4C2B" w:rsidRDefault="00FD3697" w:rsidP="00FD3697">
      <w:pPr>
        <w:pStyle w:val="Heading3"/>
        <w:rPr>
          <w:color w:val="auto"/>
        </w:rPr>
      </w:pPr>
    </w:p>
    <w:p w14:paraId="2AC6DFA5" w14:textId="77777777" w:rsidR="00FD3697" w:rsidRPr="00CF4C2B" w:rsidRDefault="00FD3697" w:rsidP="00FD3697">
      <w:pPr>
        <w:pStyle w:val="Heading3"/>
        <w:spacing w:after="240" w:line="360" w:lineRule="auto"/>
        <w:rPr>
          <w:rFonts w:ascii="Times New Roman" w:hAnsi="Times New Roman"/>
          <w:color w:val="auto"/>
        </w:rPr>
      </w:pPr>
      <w:r w:rsidRPr="00CF4C2B">
        <w:rPr>
          <w:color w:val="auto"/>
        </w:rPr>
        <w:t xml:space="preserve">Plant diversity </w:t>
      </w:r>
    </w:p>
    <w:p w14:paraId="5F86C03B" w14:textId="5CA0C5F6" w:rsidR="00E5337A" w:rsidRDefault="00FD3697" w:rsidP="00FD3697">
      <w:pPr>
        <w:pStyle w:val="Default"/>
        <w:spacing w:line="360" w:lineRule="auto"/>
        <w:jc w:val="both"/>
        <w:rPr>
          <w:rFonts w:asciiTheme="minorHAnsi" w:hAnsiTheme="minorHAnsi" w:cstheme="minorHAnsi"/>
        </w:rPr>
      </w:pPr>
      <w:r>
        <w:rPr>
          <w:rFonts w:asciiTheme="minorHAnsi" w:hAnsiTheme="minorHAnsi" w:cstheme="minorHAnsi"/>
        </w:rPr>
        <w:t xml:space="preserve">For the plots in Germany, </w:t>
      </w:r>
      <w:r w:rsidRPr="005D2A31">
        <w:rPr>
          <w:rFonts w:asciiTheme="minorHAnsi" w:hAnsiTheme="minorHAnsi" w:cstheme="minorHAnsi"/>
        </w:rPr>
        <w:t xml:space="preserve">the </w:t>
      </w:r>
      <w:r>
        <w:rPr>
          <w:rFonts w:asciiTheme="minorHAnsi" w:hAnsiTheme="minorHAnsi" w:cstheme="minorHAnsi"/>
        </w:rPr>
        <w:t>plant diversity</w:t>
      </w:r>
      <w:r w:rsidRPr="005D2A31">
        <w:rPr>
          <w:rFonts w:asciiTheme="minorHAnsi" w:hAnsiTheme="minorHAnsi" w:cstheme="minorHAnsi"/>
        </w:rPr>
        <w:t xml:space="preserve"> was measured as the percentage cover of all plant species </w:t>
      </w:r>
      <w:r>
        <w:rPr>
          <w:rFonts w:asciiTheme="minorHAnsi" w:hAnsiTheme="minorHAnsi" w:cstheme="minorHAnsi"/>
        </w:rPr>
        <w:t>within</w:t>
      </w:r>
      <w:r w:rsidRPr="005D2A31">
        <w:rPr>
          <w:rFonts w:asciiTheme="minorHAnsi" w:hAnsiTheme="minorHAnsi" w:cstheme="minorHAnsi"/>
        </w:rPr>
        <w:t xml:space="preserve"> 16m</w:t>
      </w:r>
      <w:r w:rsidRPr="005D2A31">
        <w:rPr>
          <w:rFonts w:asciiTheme="minorHAnsi" w:hAnsiTheme="minorHAnsi" w:cstheme="minorHAnsi"/>
          <w:vertAlign w:val="superscript"/>
        </w:rPr>
        <w:t>2</w:t>
      </w:r>
      <w:r w:rsidRPr="005D2A31">
        <w:rPr>
          <w:rFonts w:asciiTheme="minorHAnsi" w:hAnsiTheme="minorHAnsi" w:cstheme="minorHAnsi"/>
        </w:rPr>
        <w:t xml:space="preserve"> per plot</w:t>
      </w:r>
      <w:r>
        <w:rPr>
          <w:rFonts w:asciiTheme="minorHAnsi" w:hAnsiTheme="minorHAnsi" w:cstheme="minorHAnsi"/>
        </w:rPr>
        <w:t xml:space="preserve"> in the flowering season from 2020 and 2021</w:t>
      </w:r>
      <w:r w:rsidRPr="005D2A31">
        <w:rPr>
          <w:rFonts w:asciiTheme="minorHAnsi" w:hAnsiTheme="minorHAnsi" w:cstheme="minorHAnsi"/>
        </w:rPr>
        <w:t xml:space="preserve">. </w:t>
      </w:r>
      <w:r>
        <w:rPr>
          <w:rFonts w:asciiTheme="minorHAnsi" w:hAnsiTheme="minorHAnsi" w:cstheme="minorHAnsi"/>
        </w:rPr>
        <w:t>The percentage of cover from each plant species was taken from field assessments carried out</w:t>
      </w:r>
      <w:r w:rsidRPr="005D2A31">
        <w:rPr>
          <w:rFonts w:asciiTheme="minorHAnsi" w:hAnsiTheme="minorHAnsi" w:cstheme="minorHAnsi"/>
        </w:rPr>
        <w:t xml:space="preserve"> by the Core Botany team of the Biodiversity </w:t>
      </w:r>
      <w:proofErr w:type="spellStart"/>
      <w:r w:rsidRPr="005D2A31">
        <w:rPr>
          <w:rFonts w:asciiTheme="minorHAnsi" w:hAnsiTheme="minorHAnsi" w:cstheme="minorHAnsi"/>
        </w:rPr>
        <w:t>Exploratories</w:t>
      </w:r>
      <w:proofErr w:type="spellEnd"/>
      <w:r>
        <w:rPr>
          <w:rFonts w:asciiTheme="minorHAnsi" w:hAnsiTheme="minorHAnsi" w:cstheme="minorHAnsi"/>
        </w:rPr>
        <w:t xml:space="preserve"> and</w:t>
      </w:r>
      <w:r w:rsidRPr="005D2A31">
        <w:rPr>
          <w:rFonts w:asciiTheme="minorHAnsi" w:hAnsiTheme="minorHAnsi" w:cstheme="minorHAnsi"/>
        </w:rPr>
        <w:t xml:space="preserve"> includ</w:t>
      </w:r>
      <w:r>
        <w:rPr>
          <w:rFonts w:asciiTheme="minorHAnsi" w:hAnsiTheme="minorHAnsi" w:cstheme="minorHAnsi"/>
        </w:rPr>
        <w:t>ed</w:t>
      </w:r>
      <w:r w:rsidRPr="005D2A31">
        <w:rPr>
          <w:rFonts w:asciiTheme="minorHAnsi" w:hAnsiTheme="minorHAnsi" w:cstheme="minorHAnsi"/>
        </w:rPr>
        <w:t xml:space="preserve"> all plant species</w:t>
      </w:r>
      <w:r>
        <w:rPr>
          <w:rFonts w:asciiTheme="minorHAnsi" w:hAnsiTheme="minorHAnsi" w:cstheme="minorHAnsi"/>
        </w:rPr>
        <w:t xml:space="preserve"> </w:t>
      </w:r>
      <w:r>
        <w:rPr>
          <w:rFonts w:cstheme="minorHAnsi"/>
        </w:rPr>
        <w:fldChar w:fldCharType="begin"/>
      </w:r>
      <w:r>
        <w:rPr>
          <w:rFonts w:asciiTheme="minorHAnsi" w:hAnsiTheme="minorHAnsi" w:cstheme="minorHAnsi"/>
        </w:rPr>
        <w:instrText xml:space="preserve"> ADDIN ZOTERO_ITEM CSL_CITATION {"citationID":"9xWIvBUJ","properties":{"formattedCitation":"(Hinderling et al., 2022)","plainCitation":"(Hinderling et al., 2022)","noteIndex":0},"citationItems":[{"id":3370,"uris":["http://zotero.org/users/2814850/items/V2H7K7PX"],"itemData":{"id":3370,"type":"document","title":"Vegetation records for grassland EPs, 2008 - 2021. Core Botany Team. Biodiversity Exploratories. Dataset number 31175.","URL":"https://ror.org/018mejw64","author":[{"family":"Hinderling","given":"Judith"},{"family":"Bolliger","given":"Ralph"},{"family":"Kunze","given":"Svenja"},{"family":"Zwahlen","given":"Christoph"},{"family":"Fischer","given":"Markus"},{"family":"Pratti","given":"Daniel"}],"issued":{"date-parts":[["2022",1,19]]}}}],"schema":"https://github.com/citation-style-language/schema/raw/master/csl-citation.json"} </w:instrText>
      </w:r>
      <w:r>
        <w:rPr>
          <w:rFonts w:cstheme="minorHAnsi"/>
        </w:rPr>
        <w:fldChar w:fldCharType="separate"/>
      </w:r>
      <w:r w:rsidRPr="004663A2">
        <w:rPr>
          <w:rFonts w:ascii="Calibri" w:hAnsi="Calibri" w:cs="Calibri"/>
        </w:rPr>
        <w:t>(Hinderling et al., 2022)</w:t>
      </w:r>
      <w:r>
        <w:rPr>
          <w:rFonts w:cstheme="minorHAnsi"/>
        </w:rPr>
        <w:fldChar w:fldCharType="end"/>
      </w:r>
      <w:r w:rsidRPr="005D2A31">
        <w:rPr>
          <w:rFonts w:asciiTheme="minorHAnsi" w:hAnsiTheme="minorHAnsi" w:cstheme="minorHAnsi"/>
        </w:rPr>
        <w:t xml:space="preserve">. We </w:t>
      </w:r>
      <w:r>
        <w:rPr>
          <w:rFonts w:asciiTheme="minorHAnsi" w:hAnsiTheme="minorHAnsi" w:cstheme="minorHAnsi"/>
        </w:rPr>
        <w:t>used</w:t>
      </w:r>
      <w:r w:rsidRPr="005D2A31">
        <w:rPr>
          <w:rFonts w:asciiTheme="minorHAnsi" w:hAnsiTheme="minorHAnsi" w:cstheme="minorHAnsi"/>
        </w:rPr>
        <w:t xml:space="preserve"> a subset of the original dataset by selecting those plants that flower</w:t>
      </w:r>
      <w:r>
        <w:rPr>
          <w:rFonts w:asciiTheme="minorHAnsi" w:hAnsiTheme="minorHAnsi" w:cstheme="minorHAnsi"/>
        </w:rPr>
        <w:t>ed</w:t>
      </w:r>
      <w:r w:rsidRPr="005D2A31">
        <w:rPr>
          <w:rFonts w:asciiTheme="minorHAnsi" w:hAnsiTheme="minorHAnsi" w:cstheme="minorHAnsi"/>
        </w:rPr>
        <w:t xml:space="preserve"> between April and </w:t>
      </w:r>
      <w:r>
        <w:rPr>
          <w:rFonts w:asciiTheme="minorHAnsi" w:hAnsiTheme="minorHAnsi" w:cstheme="minorHAnsi"/>
        </w:rPr>
        <w:t>July</w:t>
      </w:r>
      <w:r w:rsidRPr="005D2A31">
        <w:rPr>
          <w:rFonts w:asciiTheme="minorHAnsi" w:hAnsiTheme="minorHAnsi" w:cstheme="minorHAnsi"/>
        </w:rPr>
        <w:t xml:space="preserve"> and hence were of relevance for pollen</w:t>
      </w:r>
      <w:r>
        <w:rPr>
          <w:rFonts w:asciiTheme="minorHAnsi" w:hAnsiTheme="minorHAnsi" w:cstheme="minorHAnsi"/>
        </w:rPr>
        <w:t xml:space="preserve"> and nectar</w:t>
      </w:r>
      <w:r w:rsidRPr="005D2A31">
        <w:rPr>
          <w:rFonts w:asciiTheme="minorHAnsi" w:hAnsiTheme="minorHAnsi" w:cstheme="minorHAnsi"/>
        </w:rPr>
        <w:t xml:space="preserve"> collecti</w:t>
      </w:r>
      <w:r>
        <w:rPr>
          <w:rFonts w:asciiTheme="minorHAnsi" w:hAnsiTheme="minorHAnsi" w:cstheme="minorHAnsi"/>
        </w:rPr>
        <w:t>ng</w:t>
      </w:r>
      <w:r w:rsidRPr="005D2A31">
        <w:rPr>
          <w:rFonts w:asciiTheme="minorHAnsi" w:hAnsiTheme="minorHAnsi" w:cstheme="minorHAnsi"/>
        </w:rPr>
        <w:t xml:space="preserve"> bees; we excluded non-flowering plants. </w:t>
      </w:r>
      <w:r w:rsidRPr="00246B39">
        <w:rPr>
          <w:rFonts w:asciiTheme="minorHAnsi" w:hAnsiTheme="minorHAnsi" w:cstheme="minorHAnsi"/>
        </w:rPr>
        <w:t xml:space="preserve">For the plots in Belgium, respective field measurements were carried out by our team by placing </w:t>
      </w:r>
      <w:r w:rsidRPr="00F90435">
        <w:rPr>
          <w:rFonts w:asciiTheme="minorHAnsi" w:hAnsiTheme="minorHAnsi" w:cstheme="minorHAnsi"/>
          <w:lang w:val="en-GB"/>
        </w:rPr>
        <w:t>30 quadrats of 1 m² at the ends and in the middle of each 25 m transect line</w:t>
      </w:r>
      <w:r w:rsidRPr="00246B39">
        <w:rPr>
          <w:rFonts w:asciiTheme="minorHAnsi" w:hAnsiTheme="minorHAnsi" w:cstheme="minorHAnsi"/>
        </w:rPr>
        <w:t xml:space="preserve"> during every plot visit. We id</w:t>
      </w:r>
      <w:r w:rsidRPr="005D2A31">
        <w:rPr>
          <w:rFonts w:asciiTheme="minorHAnsi" w:hAnsiTheme="minorHAnsi" w:cstheme="minorHAnsi"/>
        </w:rPr>
        <w:t xml:space="preserve">entified all flowering plants and counted the number of </w:t>
      </w:r>
      <w:r>
        <w:rPr>
          <w:rFonts w:asciiTheme="minorHAnsi" w:hAnsiTheme="minorHAnsi" w:cstheme="minorHAnsi"/>
        </w:rPr>
        <w:t xml:space="preserve">flowering stems </w:t>
      </w:r>
      <w:r w:rsidRPr="005D2A31">
        <w:rPr>
          <w:rFonts w:asciiTheme="minorHAnsi" w:hAnsiTheme="minorHAnsi" w:cstheme="minorHAnsi"/>
        </w:rPr>
        <w:t xml:space="preserve">available for bees </w:t>
      </w:r>
      <w:r>
        <w:rPr>
          <w:rFonts w:asciiTheme="minorHAnsi" w:hAnsiTheme="minorHAnsi" w:cstheme="minorHAnsi"/>
        </w:rPr>
        <w:t xml:space="preserve">within </w:t>
      </w:r>
      <w:r w:rsidRPr="005D2A31">
        <w:rPr>
          <w:rFonts w:asciiTheme="minorHAnsi" w:hAnsiTheme="minorHAnsi" w:cstheme="minorHAnsi"/>
        </w:rPr>
        <w:t>quadrant</w:t>
      </w:r>
      <w:r>
        <w:rPr>
          <w:rFonts w:asciiTheme="minorHAnsi" w:hAnsiTheme="minorHAnsi" w:cstheme="minorHAnsi"/>
        </w:rPr>
        <w:t>s</w:t>
      </w:r>
      <w:r w:rsidRPr="005D2A31">
        <w:rPr>
          <w:rFonts w:asciiTheme="minorHAnsi" w:hAnsiTheme="minorHAnsi" w:cstheme="minorHAnsi"/>
        </w:rPr>
        <w:t>.</w:t>
      </w:r>
      <w:r>
        <w:rPr>
          <w:rFonts w:asciiTheme="minorHAnsi" w:hAnsiTheme="minorHAnsi" w:cstheme="minorHAnsi"/>
        </w:rPr>
        <w:t xml:space="preserve"> We calculated the approximate cover of each plant species based on their size using mean leaf length (or leaf stalk + leaf length) from databases as </w:t>
      </w:r>
      <w:r>
        <w:rPr>
          <w:rFonts w:asciiTheme="minorHAnsi" w:hAnsiTheme="minorHAnsi" w:cstheme="minorHAnsi"/>
        </w:rPr>
        <w:lastRenderedPageBreak/>
        <w:t xml:space="preserve">a proxy for plant radius. We then </w:t>
      </w:r>
      <w:proofErr w:type="spellStart"/>
      <w:r>
        <w:rPr>
          <w:rFonts w:asciiTheme="minorHAnsi" w:hAnsiTheme="minorHAnsi" w:cstheme="minorHAnsi"/>
        </w:rPr>
        <w:t>intrapolated</w:t>
      </w:r>
      <w:proofErr w:type="spellEnd"/>
      <w:r>
        <w:rPr>
          <w:rFonts w:asciiTheme="minorHAnsi" w:hAnsiTheme="minorHAnsi" w:cstheme="minorHAnsi"/>
        </w:rPr>
        <w:t xml:space="preserve"> our measurements to 16 </w:t>
      </w:r>
      <w:r w:rsidRPr="005D2A31">
        <w:rPr>
          <w:rFonts w:asciiTheme="minorHAnsi" w:hAnsiTheme="minorHAnsi" w:cstheme="minorHAnsi"/>
        </w:rPr>
        <w:t>m</w:t>
      </w:r>
      <w:r w:rsidRPr="005D2A31">
        <w:rPr>
          <w:rFonts w:asciiTheme="minorHAnsi" w:hAnsiTheme="minorHAnsi" w:cstheme="minorHAnsi"/>
          <w:vertAlign w:val="superscript"/>
        </w:rPr>
        <w:t>2</w:t>
      </w:r>
      <w:r>
        <w:rPr>
          <w:rFonts w:asciiTheme="minorHAnsi" w:hAnsiTheme="minorHAnsi" w:cstheme="minorHAnsi"/>
          <w:vertAlign w:val="superscript"/>
        </w:rPr>
        <w:t xml:space="preserve">, </w:t>
      </w:r>
      <w:r w:rsidRPr="001D7EA9">
        <w:rPr>
          <w:rFonts w:asciiTheme="minorHAnsi" w:hAnsiTheme="minorHAnsi" w:cstheme="minorHAnsi"/>
        </w:rPr>
        <w:t>in order to match</w:t>
      </w:r>
      <w:r>
        <w:rPr>
          <w:rFonts w:asciiTheme="minorHAnsi" w:hAnsiTheme="minorHAnsi" w:cstheme="minorHAnsi"/>
        </w:rPr>
        <w:t xml:space="preserve"> the area of the measurements in Germany. Finally we </w:t>
      </w:r>
      <w:r w:rsidRPr="005D2A31">
        <w:rPr>
          <w:rFonts w:asciiTheme="minorHAnsi" w:hAnsiTheme="minorHAnsi" w:cstheme="minorHAnsi"/>
        </w:rPr>
        <w:t>calculated the Shannon diversity</w:t>
      </w:r>
      <w:r>
        <w:rPr>
          <w:rFonts w:asciiTheme="minorHAnsi" w:hAnsiTheme="minorHAnsi" w:cstheme="minorHAnsi"/>
        </w:rPr>
        <w:t xml:space="preserve"> of plants</w:t>
      </w:r>
      <w:r w:rsidRPr="005D2A31">
        <w:rPr>
          <w:rFonts w:asciiTheme="minorHAnsi" w:hAnsiTheme="minorHAnsi" w:cstheme="minorHAnsi"/>
        </w:rPr>
        <w:t xml:space="preserve"> per plot</w:t>
      </w:r>
      <w:r>
        <w:rPr>
          <w:rFonts w:asciiTheme="minorHAnsi" w:hAnsiTheme="minorHAnsi" w:cstheme="minorHAnsi"/>
        </w:rPr>
        <w:t xml:space="preserve"> and</w:t>
      </w:r>
      <w:r w:rsidRPr="005D2A31">
        <w:rPr>
          <w:rFonts w:asciiTheme="minorHAnsi" w:hAnsiTheme="minorHAnsi" w:cstheme="minorHAnsi"/>
        </w:rPr>
        <w:t xml:space="preserve"> the exponential of this index</w:t>
      </w:r>
      <w:r>
        <w:rPr>
          <w:rFonts w:asciiTheme="minorHAnsi" w:hAnsiTheme="minorHAnsi" w:cstheme="minorHAnsi"/>
        </w:rPr>
        <w:t xml:space="preserve"> (Hill index)</w:t>
      </w:r>
      <w:r w:rsidRPr="005D2A31">
        <w:rPr>
          <w:rFonts w:asciiTheme="minorHAnsi" w:hAnsiTheme="minorHAnsi" w:cstheme="minorHAnsi"/>
        </w:rPr>
        <w:t xml:space="preserve"> </w:t>
      </w:r>
      <w:bookmarkStart w:id="0" w:name="_Hlk165796531"/>
      <w:r w:rsidRPr="005D2A31">
        <w:rPr>
          <w:rFonts w:asciiTheme="minorHAnsi" w:hAnsiTheme="minorHAnsi" w:cstheme="minorHAnsi"/>
        </w:rPr>
        <w:fldChar w:fldCharType="begin"/>
      </w:r>
      <w:r>
        <w:rPr>
          <w:rFonts w:asciiTheme="minorHAnsi" w:hAnsiTheme="minorHAnsi" w:cstheme="minorHAnsi"/>
        </w:rPr>
        <w:instrText xml:space="preserve"> ADDIN ZOTERO_ITEM CSL_CITATION {"citationID":"RWJmmqFC","properties":{"formattedCitation":"(Chao et al., 2014; Roswell et al., 2021)","plainCitation":"(Chao et al., 2014; Roswell et al., 2021)","noteIndex":0},"citationItems":[{"id":3369,"uris":["http://zotero.org/users/2814850/items/GNWU72YB"],"itemData":{"id":3369,"type":"article-journal","abstract":"Quantifying and assessing changes in biological diversity are central aspects of many ecological studies, yet accurate methods of estimating biological diversity from sampling data have been elusive. Hill numbers, or the effective number of species, are increasingly used to characterize the taxonomic, phylogenetic, or functional diversity of an assemblage. However, empirical estimates of Hill numbers, including species richness, tend to be an increasing function of sampling effort and, thus, tend to increase with sample completeness. Integrated curves based on sampling theory that smoothly link rarefaction (interpolation) and prediction (extrapolation) standardize samples on the basis of sample size or sample completeness and facilitate the comparison of biodiversity data. Here we extended previous rarefaction and extrapolation models for species richness (Hill number qD, where q = 0) to measures of taxon diversity incorporating relative abundance (i.e., for any Hill number qD, q &gt; 0) and present a unified approach for both individual-based (abundance) data and sample-based (incidence) data. Using this unified sampling framework, we derive both theoretical formulas and analytic estimators for seamless rarefaction and extrapolation based on Hill numbers. Detailed examples are provided for the first three Hill numbers: q = 0 (species richness), q = 1 (the exponential of Shannon's entropy index), and q = 2 (the inverse of Simpson's concentration index). We developed a bootstrap method for constructing confidence intervals around Hill numbers, facilitating the comparison of multiple assemblages of both rarefied and extrapolated samples. The proposed estimators are accurate for both rarefaction and short-range extrapolation. For long-range extrapolation, the performance of the estimators depends on both the value of q and on the extrapolation range. We tested our methods on simulated data generated from species abundance models and on data from large species inventories. We also illustrate the formulas and estimators using empirical data sets from biodiversity surveys of temperate forest spiders and tropical ants.","container-title":"Ecological Monographs","DOI":"10.1890/13-0133.1","ISSN":"0012-9615","issue":"1","journalAbbreviation":"Ecological Monographs","note":"publisher: John Wiley &amp; Sons, Ltd","page":"45-67","title":"Rarefaction and extrapolation with Hill numbers: a framework for sampling and estimation in species diversity studies","volume":"84","author":[{"family":"Chao","given":"Anne"},{"family":"Gotelli","given":"Nicholas J."},{"family":"Hsieh","given":"T. C."},{"family":"Sander","given":"Elizabeth L."},{"family":"Ma","given":"K. H."},{"family":"Colwell","given":"Robert K."},{"family":"Ellison","given":"Aaron M."}],"issued":{"date-parts":[["2014",2,1]]}}},{"id":28,"uris":["http://zotero.org/users/2814850/items/SJJYPIJM"],"itemData":{"id":28,"type":"article-journal","abstract":"Three metrics of species diversity ? species richness, the Shannon index and the Simpson index ? are still widely used in ecology, despite decades of valid critiques leveled against them. Developing a robust diversity metric has been challenging because, unlike many variables ecologists measure, the diversity of a community often cannot be estimated in an unbiased way based on a random sample from that community. Over the past decade, ecologists have begun to incorporate two important tools for estimating diversity: coverage and Hill diversity. Coverage is a method for equalizing samples that is, on theoretical grounds, preferable to other commonly used methods such as equal-effort sampling, or rarefying datasets to equal sample size. Hill diversity comprises a spectrum of diversity metrics and is based on three key insights. First, species richness and variants of the Shannon and Simpson indices are all special cases of one general equation. Second, richness, Shannon and Simpson can be expressed on the same scale and in units of species. Third, there is no way to eliminate the effect of relative abundance from estimates of any of these diversity metrics, including species richness. Rather, a researcher must choose the relative sensitivity of the metric towards rare and common species, a concept which we describe as ?leverage.' In this paper we explain coverage and Hill diversity, provide guidelines for how to use them together to measure species diversity, and demonstrate their use with examples from our own data. We show why researchers will obtain more robust results when they estimate the Hill diversity of equal-coverage samples, rather than using other methods such as equal-effort sampling or traditional sample rarefaction.","container-title":"Oikos","DOI":"10.1111/oik.07202","ISSN":"0030-1299","issue":"3","journalAbbreviation":"Oikos","note":"publisher: John Wiley &amp; Sons, Ltd","page":"321-338","title":"A conceptual guide to measuring species diversity","volume":"130","author":[{"family":"Roswell","given":"Michael"},{"family":"Dushoff","given":"Jonathan"},{"family":"Winfree","given":"Rachael"}],"issued":{"date-parts":[["2021",3,1]]}}}],"schema":"https://github.com/citation-style-language/schema/raw/master/csl-citation.json"} </w:instrText>
      </w:r>
      <w:r w:rsidRPr="005D2A31">
        <w:rPr>
          <w:rFonts w:asciiTheme="minorHAnsi" w:hAnsiTheme="minorHAnsi" w:cstheme="minorHAnsi"/>
        </w:rPr>
        <w:fldChar w:fldCharType="separate"/>
      </w:r>
      <w:r w:rsidRPr="00DE00F8">
        <w:rPr>
          <w:rFonts w:ascii="Calibri" w:hAnsi="Calibri" w:cs="Calibri"/>
        </w:rPr>
        <w:t>(Chao et al., 2014; Roswell et al., 2021)</w:t>
      </w:r>
      <w:r w:rsidRPr="005D2A31">
        <w:rPr>
          <w:rFonts w:asciiTheme="minorHAnsi" w:hAnsiTheme="minorHAnsi" w:cstheme="minorHAnsi"/>
        </w:rPr>
        <w:fldChar w:fldCharType="end"/>
      </w:r>
      <w:bookmarkEnd w:id="0"/>
      <w:r>
        <w:rPr>
          <w:rFonts w:asciiTheme="minorHAnsi" w:hAnsiTheme="minorHAnsi" w:cstheme="minorHAnsi"/>
        </w:rPr>
        <w:t>, which were the values used as plant diversity</w:t>
      </w:r>
      <w:r w:rsidRPr="005D2A31">
        <w:rPr>
          <w:rFonts w:asciiTheme="minorHAnsi" w:hAnsiTheme="minorHAnsi" w:cstheme="minorHAnsi"/>
        </w:rPr>
        <w:t xml:space="preserve">. </w:t>
      </w:r>
    </w:p>
    <w:p w14:paraId="4ACF4495" w14:textId="5B8E0F60" w:rsidR="00E5337A" w:rsidRDefault="00E5337A" w:rsidP="00FD3697">
      <w:pPr>
        <w:pStyle w:val="Default"/>
        <w:spacing w:line="360" w:lineRule="auto"/>
        <w:jc w:val="both"/>
        <w:rPr>
          <w:rFonts w:asciiTheme="minorHAnsi" w:hAnsiTheme="minorHAnsi" w:cstheme="minorHAnsi"/>
        </w:rPr>
      </w:pPr>
    </w:p>
    <w:p w14:paraId="2FE4FE41" w14:textId="70139D5C" w:rsidR="00E5337A" w:rsidRPr="00CF4C2B" w:rsidRDefault="00E5337A" w:rsidP="00E5337A">
      <w:pPr>
        <w:pStyle w:val="Heading3"/>
        <w:rPr>
          <w:color w:val="auto"/>
        </w:rPr>
      </w:pPr>
      <w:r w:rsidRPr="00CF4C2B">
        <w:rPr>
          <w:color w:val="auto"/>
        </w:rPr>
        <w:t>Pollen sources</w:t>
      </w:r>
    </w:p>
    <w:p w14:paraId="734E9098" w14:textId="1F4040E3" w:rsidR="00E5337A" w:rsidRDefault="00E5337A" w:rsidP="00FD3697">
      <w:pPr>
        <w:pStyle w:val="Default"/>
        <w:spacing w:line="360" w:lineRule="auto"/>
        <w:jc w:val="both"/>
        <w:rPr>
          <w:rFonts w:asciiTheme="minorHAnsi" w:hAnsiTheme="minorHAnsi" w:cstheme="minorHAnsi"/>
        </w:rPr>
      </w:pPr>
      <w:r>
        <w:rPr>
          <w:rFonts w:asciiTheme="minorHAnsi" w:hAnsiTheme="minorHAnsi" w:cstheme="minorHAnsi"/>
        </w:rPr>
        <w:t>Figure</w:t>
      </w:r>
      <w:r w:rsidR="00F54C37">
        <w:rPr>
          <w:rFonts w:asciiTheme="minorHAnsi" w:hAnsiTheme="minorHAnsi" w:cstheme="minorHAnsi"/>
        </w:rPr>
        <w:t>s</w:t>
      </w:r>
      <w:r>
        <w:rPr>
          <w:rFonts w:asciiTheme="minorHAnsi" w:hAnsiTheme="minorHAnsi" w:cstheme="minorHAnsi"/>
        </w:rPr>
        <w:t xml:space="preserve"> P3 </w:t>
      </w:r>
      <w:r w:rsidR="00F54C37">
        <w:rPr>
          <w:rFonts w:asciiTheme="minorHAnsi" w:hAnsiTheme="minorHAnsi" w:cstheme="minorHAnsi"/>
        </w:rPr>
        <w:t xml:space="preserve">(1-4) </w:t>
      </w:r>
      <w:r>
        <w:rPr>
          <w:rFonts w:asciiTheme="minorHAnsi" w:hAnsiTheme="minorHAnsi" w:cstheme="minorHAnsi"/>
        </w:rPr>
        <w:t>shows the composition of the pollen found in bees in each plot, for plants with 10 or more occurrences in each site, for further reference on the plant community in the plots and surroundings. There is a predominance of herbaceous so also woody sources (</w:t>
      </w:r>
      <w:proofErr w:type="spellStart"/>
      <w:r>
        <w:rPr>
          <w:rFonts w:asciiTheme="minorHAnsi" w:hAnsiTheme="minorHAnsi" w:cstheme="minorHAnsi"/>
        </w:rPr>
        <w:t>eg</w:t>
      </w:r>
      <w:proofErr w:type="spellEnd"/>
      <w:r>
        <w:rPr>
          <w:rFonts w:asciiTheme="minorHAnsi" w:hAnsiTheme="minorHAnsi" w:cstheme="minorHAnsi"/>
        </w:rPr>
        <w:t xml:space="preserve">., </w:t>
      </w:r>
      <w:r w:rsidRPr="00E5337A">
        <w:rPr>
          <w:rFonts w:asciiTheme="minorHAnsi" w:hAnsiTheme="minorHAnsi" w:cstheme="minorHAnsi"/>
          <w:i/>
          <w:iCs/>
        </w:rPr>
        <w:t>Acer pseudoplatanus</w:t>
      </w:r>
      <w:r>
        <w:rPr>
          <w:rFonts w:asciiTheme="minorHAnsi" w:hAnsiTheme="minorHAnsi" w:cstheme="minorHAnsi"/>
        </w:rPr>
        <w:t xml:space="preserve">). </w:t>
      </w:r>
    </w:p>
    <w:p w14:paraId="3BC88878" w14:textId="060C78B6" w:rsidR="00E5337A" w:rsidRDefault="00E5337A" w:rsidP="00E5337A">
      <w:pPr>
        <w:pStyle w:val="Default"/>
        <w:spacing w:line="360" w:lineRule="auto"/>
        <w:jc w:val="both"/>
        <w:rPr>
          <w:rFonts w:asciiTheme="minorHAnsi" w:hAnsiTheme="minorHAnsi" w:cstheme="minorHAnsi"/>
        </w:rPr>
      </w:pPr>
      <w:r>
        <w:rPr>
          <w:rFonts w:asciiTheme="minorHAnsi" w:hAnsiTheme="minorHAnsi" w:cstheme="minorHAnsi"/>
          <w:noProof/>
        </w:rPr>
        <w:drawing>
          <wp:anchor distT="0" distB="0" distL="114300" distR="114300" simplePos="0" relativeHeight="251760640" behindDoc="1" locked="0" layoutInCell="1" allowOverlap="1" wp14:anchorId="28986FBD" wp14:editId="0CFD56AC">
            <wp:simplePos x="0" y="0"/>
            <wp:positionH relativeFrom="margin">
              <wp:posOffset>54732</wp:posOffset>
            </wp:positionH>
            <wp:positionV relativeFrom="paragraph">
              <wp:posOffset>104163</wp:posOffset>
            </wp:positionV>
            <wp:extent cx="5943600" cy="4160520"/>
            <wp:effectExtent l="0" t="0" r="0" b="0"/>
            <wp:wrapTight wrapText="bothSides">
              <wp:wrapPolygon edited="0">
                <wp:start x="831" y="890"/>
                <wp:lineTo x="762" y="2275"/>
                <wp:lineTo x="1108" y="2670"/>
                <wp:lineTo x="762" y="2868"/>
                <wp:lineTo x="762" y="5440"/>
                <wp:lineTo x="1108" y="5835"/>
                <wp:lineTo x="900" y="5934"/>
                <wp:lineTo x="762" y="6132"/>
                <wp:lineTo x="762" y="11769"/>
                <wp:lineTo x="1246" y="12165"/>
                <wp:lineTo x="1038" y="12165"/>
                <wp:lineTo x="762" y="12363"/>
                <wp:lineTo x="831" y="18099"/>
                <wp:lineTo x="1454" y="18495"/>
                <wp:lineTo x="762" y="18495"/>
                <wp:lineTo x="1108" y="19780"/>
                <wp:lineTo x="8238" y="20275"/>
                <wp:lineTo x="8446" y="20374"/>
                <wp:lineTo x="9485" y="20571"/>
                <wp:lineTo x="10108" y="20571"/>
                <wp:lineTo x="12946" y="20374"/>
                <wp:lineTo x="13569" y="20275"/>
                <wp:lineTo x="13431" y="20077"/>
                <wp:lineTo x="20977" y="19484"/>
                <wp:lineTo x="20838" y="2176"/>
                <wp:lineTo x="4638" y="890"/>
                <wp:lineTo x="831" y="890"/>
              </wp:wrapPolygon>
            </wp:wrapTight>
            <wp:docPr id="18157534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4160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7EB4D8" w14:textId="037CD3A1" w:rsidR="00E5337A" w:rsidRDefault="00E5337A" w:rsidP="00FD3697">
      <w:pPr>
        <w:pStyle w:val="Default"/>
        <w:spacing w:line="360" w:lineRule="auto"/>
        <w:jc w:val="both"/>
        <w:rPr>
          <w:rFonts w:asciiTheme="minorHAnsi" w:hAnsiTheme="minorHAnsi" w:cstheme="minorHAnsi"/>
        </w:rPr>
      </w:pPr>
    </w:p>
    <w:p w14:paraId="6775BB3D" w14:textId="77777777" w:rsidR="00F54C37" w:rsidRDefault="00F54C37" w:rsidP="00FD3697">
      <w:pPr>
        <w:pStyle w:val="Default"/>
        <w:spacing w:line="360" w:lineRule="auto"/>
        <w:jc w:val="both"/>
        <w:rPr>
          <w:rFonts w:asciiTheme="minorHAnsi" w:hAnsiTheme="minorHAnsi" w:cstheme="minorHAnsi"/>
        </w:rPr>
      </w:pPr>
    </w:p>
    <w:p w14:paraId="66FF8853" w14:textId="77777777" w:rsidR="00F54C37" w:rsidRDefault="00F54C37" w:rsidP="00FD3697">
      <w:pPr>
        <w:pStyle w:val="Default"/>
        <w:spacing w:line="360" w:lineRule="auto"/>
        <w:jc w:val="both"/>
        <w:rPr>
          <w:rFonts w:asciiTheme="minorHAnsi" w:hAnsiTheme="minorHAnsi" w:cstheme="minorHAnsi"/>
        </w:rPr>
      </w:pPr>
    </w:p>
    <w:p w14:paraId="3752949F" w14:textId="245AAA3D" w:rsidR="00F54C37" w:rsidRDefault="00F54C37" w:rsidP="00FD3697">
      <w:pPr>
        <w:pStyle w:val="Default"/>
        <w:spacing w:line="360" w:lineRule="auto"/>
        <w:jc w:val="both"/>
        <w:rPr>
          <w:rFonts w:asciiTheme="minorHAnsi" w:hAnsiTheme="minorHAnsi" w:cstheme="minorHAnsi"/>
        </w:rPr>
      </w:pPr>
      <w:r>
        <w:rPr>
          <w:rFonts w:asciiTheme="minorHAnsi" w:hAnsiTheme="minorHAnsi" w:cstheme="minorHAnsi"/>
        </w:rPr>
        <w:t xml:space="preserve">Figure P3.1: Main sources of pollen. Frequency of plant species in the metabarcoding records of the site Alb (for plants with more than 10 occurrences). </w:t>
      </w:r>
    </w:p>
    <w:p w14:paraId="064D133A" w14:textId="77777777" w:rsidR="00F54C37" w:rsidRDefault="00F54C37" w:rsidP="00FD3697">
      <w:pPr>
        <w:pStyle w:val="Default"/>
        <w:spacing w:line="360" w:lineRule="auto"/>
        <w:jc w:val="both"/>
        <w:rPr>
          <w:rFonts w:asciiTheme="minorHAnsi" w:hAnsiTheme="minorHAnsi" w:cstheme="minorHAnsi"/>
        </w:rPr>
      </w:pPr>
    </w:p>
    <w:p w14:paraId="51790C3B" w14:textId="77777777" w:rsidR="00F54C37" w:rsidRDefault="00F54C37" w:rsidP="00F54C37">
      <w:pPr>
        <w:rPr>
          <w:rFonts w:cstheme="minorHAnsi"/>
        </w:rPr>
      </w:pPr>
    </w:p>
    <w:p w14:paraId="77528380" w14:textId="33074B99" w:rsidR="00F54C37" w:rsidRDefault="00F54C37" w:rsidP="00F54C37">
      <w:pPr>
        <w:rPr>
          <w:rFonts w:cstheme="minorHAnsi"/>
        </w:rPr>
      </w:pPr>
      <w:r>
        <w:rPr>
          <w:rFonts w:cstheme="minorHAnsi"/>
          <w:noProof/>
        </w:rPr>
        <w:lastRenderedPageBreak/>
        <w:drawing>
          <wp:anchor distT="0" distB="0" distL="114300" distR="114300" simplePos="0" relativeHeight="251759616" behindDoc="1" locked="0" layoutInCell="1" allowOverlap="1" wp14:anchorId="46181CC3" wp14:editId="0339CBB8">
            <wp:simplePos x="0" y="0"/>
            <wp:positionH relativeFrom="margin">
              <wp:posOffset>-83820</wp:posOffset>
            </wp:positionH>
            <wp:positionV relativeFrom="paragraph">
              <wp:posOffset>-685800</wp:posOffset>
            </wp:positionV>
            <wp:extent cx="5715000" cy="4000500"/>
            <wp:effectExtent l="0" t="0" r="0" b="0"/>
            <wp:wrapNone/>
            <wp:docPr id="17356708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17679" cy="4002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CDD75A" w14:textId="77777777" w:rsidR="00F54C37" w:rsidRDefault="00F54C37" w:rsidP="00F54C37">
      <w:pPr>
        <w:rPr>
          <w:rFonts w:cstheme="minorHAnsi"/>
        </w:rPr>
      </w:pPr>
    </w:p>
    <w:p w14:paraId="35D29D55" w14:textId="77777777" w:rsidR="00F54C37" w:rsidRDefault="00F54C37" w:rsidP="00F54C37">
      <w:pPr>
        <w:rPr>
          <w:rFonts w:cstheme="minorHAnsi"/>
        </w:rPr>
      </w:pPr>
    </w:p>
    <w:p w14:paraId="23010763" w14:textId="2B59CB83" w:rsidR="00F54C37" w:rsidRDefault="00F54C37" w:rsidP="00F54C37">
      <w:pPr>
        <w:rPr>
          <w:rFonts w:cstheme="minorHAnsi"/>
        </w:rPr>
      </w:pPr>
    </w:p>
    <w:p w14:paraId="06814A45" w14:textId="77777777" w:rsidR="00F54C37" w:rsidRDefault="00F54C37" w:rsidP="00F54C37">
      <w:pPr>
        <w:rPr>
          <w:rFonts w:cstheme="minorHAnsi"/>
        </w:rPr>
      </w:pPr>
    </w:p>
    <w:p w14:paraId="69E8DD02" w14:textId="77777777" w:rsidR="00F54C37" w:rsidRDefault="00F54C37" w:rsidP="00F54C37">
      <w:pPr>
        <w:rPr>
          <w:rFonts w:cstheme="minorHAnsi"/>
        </w:rPr>
      </w:pPr>
    </w:p>
    <w:p w14:paraId="5B745DDA" w14:textId="77777777" w:rsidR="00F54C37" w:rsidRDefault="00F54C37" w:rsidP="00F54C37">
      <w:pPr>
        <w:rPr>
          <w:rFonts w:cstheme="minorHAnsi"/>
        </w:rPr>
      </w:pPr>
    </w:p>
    <w:p w14:paraId="574FD5F3" w14:textId="77777777" w:rsidR="00F54C37" w:rsidRDefault="00F54C37" w:rsidP="00F54C37">
      <w:pPr>
        <w:rPr>
          <w:rFonts w:cstheme="minorHAnsi"/>
        </w:rPr>
      </w:pPr>
    </w:p>
    <w:p w14:paraId="342C6B03" w14:textId="77777777" w:rsidR="00F54C37" w:rsidRDefault="00F54C37" w:rsidP="00F54C37">
      <w:pPr>
        <w:rPr>
          <w:rFonts w:cstheme="minorHAnsi"/>
        </w:rPr>
      </w:pPr>
    </w:p>
    <w:p w14:paraId="7E320661" w14:textId="77777777" w:rsidR="00F54C37" w:rsidRDefault="00F54C37" w:rsidP="00F54C37">
      <w:pPr>
        <w:rPr>
          <w:rFonts w:cstheme="minorHAnsi"/>
        </w:rPr>
      </w:pPr>
    </w:p>
    <w:p w14:paraId="49EA245B" w14:textId="4A76E27D" w:rsidR="00F54C37" w:rsidRDefault="00F54C37" w:rsidP="00F54C37">
      <w:pPr>
        <w:rPr>
          <w:rFonts w:cstheme="minorHAnsi"/>
        </w:rPr>
      </w:pPr>
    </w:p>
    <w:p w14:paraId="22CC3FB2" w14:textId="201ED8EF" w:rsidR="00F54C37" w:rsidRPr="00F54C37" w:rsidRDefault="00F54C37" w:rsidP="00F54C37">
      <w:pPr>
        <w:rPr>
          <w:rFonts w:ascii="Times New Roman" w:hAnsi="Times New Roman" w:cstheme="minorHAnsi"/>
        </w:rPr>
      </w:pPr>
      <w:r>
        <w:rPr>
          <w:rFonts w:cstheme="minorHAnsi"/>
        </w:rPr>
        <w:t xml:space="preserve">Figure P3.2: Main sources of pollen. Frequency of plant species in the metabarcoding records of the site </w:t>
      </w:r>
      <w:proofErr w:type="spellStart"/>
      <w:r>
        <w:rPr>
          <w:rFonts w:cstheme="minorHAnsi"/>
        </w:rPr>
        <w:t>Hainich</w:t>
      </w:r>
      <w:proofErr w:type="spellEnd"/>
      <w:r>
        <w:rPr>
          <w:rFonts w:cstheme="minorHAnsi"/>
        </w:rPr>
        <w:t xml:space="preserve"> (for plants with more than 10 occurrences). </w:t>
      </w:r>
    </w:p>
    <w:p w14:paraId="35CD5F42" w14:textId="64F0F03B" w:rsidR="00F54C37" w:rsidRDefault="00F54C37">
      <w:pPr>
        <w:rPr>
          <w:rFonts w:ascii="Times New Roman" w:hAnsi="Times New Roman" w:cstheme="minorHAnsi"/>
          <w:sz w:val="24"/>
          <w:szCs w:val="24"/>
        </w:rPr>
      </w:pPr>
      <w:r>
        <w:rPr>
          <w:rFonts w:cstheme="minorHAnsi"/>
          <w:noProof/>
        </w:rPr>
        <w:drawing>
          <wp:anchor distT="0" distB="0" distL="114300" distR="114300" simplePos="0" relativeHeight="251764736" behindDoc="1" locked="0" layoutInCell="1" allowOverlap="1" wp14:anchorId="42B00FC9" wp14:editId="439D43AB">
            <wp:simplePos x="0" y="0"/>
            <wp:positionH relativeFrom="margin">
              <wp:posOffset>-22860</wp:posOffset>
            </wp:positionH>
            <wp:positionV relativeFrom="paragraph">
              <wp:posOffset>12065</wp:posOffset>
            </wp:positionV>
            <wp:extent cx="5692140" cy="3984498"/>
            <wp:effectExtent l="0" t="0" r="0" b="0"/>
            <wp:wrapNone/>
            <wp:docPr id="27275200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01468" cy="39910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B9067D" w14:textId="0B1FFB1B" w:rsidR="00E5337A" w:rsidRDefault="00E5337A" w:rsidP="00E5337A">
      <w:pPr>
        <w:rPr>
          <w:rFonts w:ascii="Times New Roman" w:hAnsi="Times New Roman" w:cstheme="minorHAnsi"/>
        </w:rPr>
      </w:pPr>
    </w:p>
    <w:p w14:paraId="7933167A" w14:textId="58AB5B4C" w:rsidR="00E5337A" w:rsidRDefault="00E5337A" w:rsidP="00E5337A">
      <w:pPr>
        <w:rPr>
          <w:rFonts w:ascii="Times New Roman" w:hAnsi="Times New Roman" w:cstheme="minorHAnsi"/>
        </w:rPr>
      </w:pPr>
    </w:p>
    <w:p w14:paraId="655FEACD" w14:textId="5D892705" w:rsidR="00E5337A" w:rsidRDefault="00E5337A" w:rsidP="00E5337A">
      <w:pPr>
        <w:rPr>
          <w:rFonts w:ascii="Times New Roman" w:hAnsi="Times New Roman" w:cstheme="minorHAnsi"/>
        </w:rPr>
      </w:pPr>
    </w:p>
    <w:p w14:paraId="715B9F34" w14:textId="4B3D2F1F" w:rsidR="00E5337A" w:rsidRDefault="00E5337A" w:rsidP="00E5337A">
      <w:pPr>
        <w:rPr>
          <w:rFonts w:ascii="Times New Roman" w:hAnsi="Times New Roman" w:cstheme="minorHAnsi"/>
        </w:rPr>
      </w:pPr>
    </w:p>
    <w:p w14:paraId="4CBCEFC8" w14:textId="0D7174EE" w:rsidR="00E5337A" w:rsidRDefault="00E5337A" w:rsidP="00E5337A">
      <w:pPr>
        <w:rPr>
          <w:rFonts w:ascii="Times New Roman" w:hAnsi="Times New Roman" w:cstheme="minorHAnsi"/>
        </w:rPr>
      </w:pPr>
    </w:p>
    <w:p w14:paraId="615479F0" w14:textId="4506112D" w:rsidR="00E5337A" w:rsidRDefault="00E5337A" w:rsidP="00E5337A">
      <w:pPr>
        <w:rPr>
          <w:rFonts w:ascii="Times New Roman" w:hAnsi="Times New Roman" w:cstheme="minorHAnsi"/>
        </w:rPr>
      </w:pPr>
    </w:p>
    <w:p w14:paraId="4DAB075B" w14:textId="40494734" w:rsidR="00E5337A" w:rsidRDefault="00E5337A" w:rsidP="00E5337A">
      <w:pPr>
        <w:rPr>
          <w:rFonts w:ascii="Times New Roman" w:hAnsi="Times New Roman" w:cstheme="minorHAnsi"/>
        </w:rPr>
      </w:pPr>
    </w:p>
    <w:p w14:paraId="5CCEE6FD" w14:textId="58B055B9" w:rsidR="00E5337A" w:rsidRDefault="00E5337A" w:rsidP="00E5337A">
      <w:pPr>
        <w:rPr>
          <w:rFonts w:ascii="Times New Roman" w:hAnsi="Times New Roman" w:cstheme="minorHAnsi"/>
        </w:rPr>
      </w:pPr>
    </w:p>
    <w:p w14:paraId="3F4E3318" w14:textId="33E9A1AF" w:rsidR="00E5337A" w:rsidRDefault="00E5337A" w:rsidP="00E5337A">
      <w:pPr>
        <w:rPr>
          <w:rFonts w:ascii="Times New Roman" w:hAnsi="Times New Roman" w:cstheme="minorHAnsi"/>
        </w:rPr>
      </w:pPr>
    </w:p>
    <w:p w14:paraId="5BBECF85" w14:textId="0F758930" w:rsidR="00E5337A" w:rsidRDefault="00E5337A" w:rsidP="00E5337A">
      <w:pPr>
        <w:rPr>
          <w:rFonts w:ascii="Times New Roman" w:hAnsi="Times New Roman" w:cstheme="minorHAnsi"/>
        </w:rPr>
      </w:pPr>
    </w:p>
    <w:p w14:paraId="2E37A938" w14:textId="1377C319" w:rsidR="00E5337A" w:rsidRDefault="00E5337A" w:rsidP="00E5337A">
      <w:pPr>
        <w:rPr>
          <w:rFonts w:ascii="Times New Roman" w:hAnsi="Times New Roman" w:cstheme="minorHAnsi"/>
        </w:rPr>
      </w:pPr>
    </w:p>
    <w:p w14:paraId="0FE5A5DB" w14:textId="34CB8AF6" w:rsidR="00E5337A" w:rsidRDefault="00E5337A" w:rsidP="00E5337A">
      <w:pPr>
        <w:rPr>
          <w:rFonts w:ascii="Times New Roman" w:hAnsi="Times New Roman" w:cstheme="minorHAnsi"/>
        </w:rPr>
      </w:pPr>
    </w:p>
    <w:p w14:paraId="5D9D4721" w14:textId="47478A3D" w:rsidR="00E5337A" w:rsidRDefault="00E5337A" w:rsidP="00E5337A">
      <w:pPr>
        <w:rPr>
          <w:rFonts w:ascii="Times New Roman" w:hAnsi="Times New Roman" w:cstheme="minorHAnsi"/>
        </w:rPr>
      </w:pPr>
    </w:p>
    <w:p w14:paraId="5A4F5BF0" w14:textId="77777777" w:rsidR="00A22BCC" w:rsidRDefault="00F54C37" w:rsidP="00F54C37">
      <w:pPr>
        <w:rPr>
          <w:rFonts w:cstheme="minorHAnsi"/>
        </w:rPr>
      </w:pPr>
      <w:r>
        <w:rPr>
          <w:rFonts w:cstheme="minorHAnsi"/>
        </w:rPr>
        <w:t xml:space="preserve">Figure P3.3: Main sources of pollen. Frequency of plant species in the metabarcoding records of the site </w:t>
      </w:r>
      <w:proofErr w:type="spellStart"/>
      <w:r>
        <w:rPr>
          <w:rFonts w:cstheme="minorHAnsi"/>
        </w:rPr>
        <w:t>Schorfheide</w:t>
      </w:r>
      <w:proofErr w:type="spellEnd"/>
      <w:r>
        <w:rPr>
          <w:rFonts w:cstheme="minorHAnsi"/>
        </w:rPr>
        <w:t xml:space="preserve"> (for plants with more than 10 occurrences).</w:t>
      </w:r>
    </w:p>
    <w:p w14:paraId="0640F8F9" w14:textId="11E005E8" w:rsidR="00F54C37" w:rsidRPr="00F54C37" w:rsidRDefault="00F54C37" w:rsidP="00F54C37">
      <w:pPr>
        <w:rPr>
          <w:rFonts w:ascii="Times New Roman" w:hAnsi="Times New Roman" w:cstheme="minorHAnsi"/>
        </w:rPr>
      </w:pPr>
      <w:r>
        <w:rPr>
          <w:rFonts w:cstheme="minorHAnsi"/>
        </w:rPr>
        <w:t xml:space="preserve"> </w:t>
      </w:r>
    </w:p>
    <w:p w14:paraId="7B6B3FC4" w14:textId="2A18B597" w:rsidR="00E5337A" w:rsidRDefault="00F54C37" w:rsidP="00E5337A">
      <w:pPr>
        <w:rPr>
          <w:rFonts w:ascii="Times New Roman" w:hAnsi="Times New Roman" w:cstheme="minorHAnsi"/>
        </w:rPr>
      </w:pPr>
      <w:r>
        <w:rPr>
          <w:rFonts w:cstheme="minorHAnsi"/>
          <w:noProof/>
        </w:rPr>
        <w:lastRenderedPageBreak/>
        <w:drawing>
          <wp:anchor distT="0" distB="0" distL="114300" distR="114300" simplePos="0" relativeHeight="251762688" behindDoc="1" locked="0" layoutInCell="1" allowOverlap="1" wp14:anchorId="062F50E2" wp14:editId="5B44E1D1">
            <wp:simplePos x="0" y="0"/>
            <wp:positionH relativeFrom="page">
              <wp:posOffset>1002535</wp:posOffset>
            </wp:positionH>
            <wp:positionV relativeFrom="paragraph">
              <wp:posOffset>-396608</wp:posOffset>
            </wp:positionV>
            <wp:extent cx="5943600" cy="4160520"/>
            <wp:effectExtent l="0" t="0" r="0" b="0"/>
            <wp:wrapNone/>
            <wp:docPr id="27000228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4160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1F9D9D" w14:textId="77777777" w:rsidR="00F54C37" w:rsidRDefault="00F54C37" w:rsidP="00F54C37">
      <w:pPr>
        <w:rPr>
          <w:rFonts w:cstheme="minorHAnsi"/>
        </w:rPr>
      </w:pPr>
    </w:p>
    <w:p w14:paraId="7CE85001" w14:textId="77777777" w:rsidR="00F54C37" w:rsidRDefault="00F54C37" w:rsidP="00F54C37">
      <w:pPr>
        <w:rPr>
          <w:rFonts w:cstheme="minorHAnsi"/>
        </w:rPr>
      </w:pPr>
    </w:p>
    <w:p w14:paraId="290F7E52" w14:textId="77777777" w:rsidR="00F54C37" w:rsidRDefault="00F54C37" w:rsidP="00F54C37">
      <w:pPr>
        <w:rPr>
          <w:rFonts w:cstheme="minorHAnsi"/>
        </w:rPr>
      </w:pPr>
    </w:p>
    <w:p w14:paraId="5DA89729" w14:textId="77777777" w:rsidR="00F54C37" w:rsidRDefault="00F54C37" w:rsidP="00F54C37">
      <w:pPr>
        <w:rPr>
          <w:rFonts w:cstheme="minorHAnsi"/>
        </w:rPr>
      </w:pPr>
    </w:p>
    <w:p w14:paraId="6C8B93BE" w14:textId="77777777" w:rsidR="00F54C37" w:rsidRDefault="00F54C37" w:rsidP="00F54C37">
      <w:pPr>
        <w:rPr>
          <w:rFonts w:cstheme="minorHAnsi"/>
        </w:rPr>
      </w:pPr>
    </w:p>
    <w:p w14:paraId="111D7B22" w14:textId="77777777" w:rsidR="00F54C37" w:rsidRDefault="00F54C37" w:rsidP="00F54C37">
      <w:pPr>
        <w:rPr>
          <w:rFonts w:cstheme="minorHAnsi"/>
        </w:rPr>
      </w:pPr>
    </w:p>
    <w:p w14:paraId="0FD37082" w14:textId="77777777" w:rsidR="00F54C37" w:rsidRDefault="00F54C37" w:rsidP="00F54C37">
      <w:pPr>
        <w:rPr>
          <w:rFonts w:cstheme="minorHAnsi"/>
        </w:rPr>
      </w:pPr>
    </w:p>
    <w:p w14:paraId="52CCD7A8" w14:textId="77777777" w:rsidR="00F54C37" w:rsidRDefault="00F54C37" w:rsidP="00F54C37">
      <w:pPr>
        <w:rPr>
          <w:rFonts w:cstheme="minorHAnsi"/>
        </w:rPr>
      </w:pPr>
    </w:p>
    <w:p w14:paraId="46213AC6" w14:textId="77777777" w:rsidR="00F54C37" w:rsidRDefault="00F54C37" w:rsidP="00F54C37">
      <w:pPr>
        <w:rPr>
          <w:rFonts w:cstheme="minorHAnsi"/>
        </w:rPr>
      </w:pPr>
    </w:p>
    <w:p w14:paraId="2911FD6B" w14:textId="77777777" w:rsidR="00F54C37" w:rsidRDefault="00F54C37" w:rsidP="00F54C37">
      <w:pPr>
        <w:rPr>
          <w:rFonts w:cstheme="minorHAnsi"/>
        </w:rPr>
      </w:pPr>
    </w:p>
    <w:p w14:paraId="06578B19" w14:textId="77777777" w:rsidR="00F54C37" w:rsidRDefault="00F54C37" w:rsidP="00F54C37">
      <w:pPr>
        <w:rPr>
          <w:rFonts w:cstheme="minorHAnsi"/>
        </w:rPr>
      </w:pPr>
    </w:p>
    <w:p w14:paraId="318B3652" w14:textId="77777777" w:rsidR="00F54C37" w:rsidRDefault="00F54C37" w:rsidP="00F54C37">
      <w:pPr>
        <w:rPr>
          <w:rFonts w:cstheme="minorHAnsi"/>
        </w:rPr>
      </w:pPr>
    </w:p>
    <w:p w14:paraId="6CE42A56" w14:textId="68C8AC7A" w:rsidR="00F54C37" w:rsidRPr="00F54C37" w:rsidRDefault="00F54C37" w:rsidP="00F54C37">
      <w:pPr>
        <w:rPr>
          <w:rFonts w:ascii="Times New Roman" w:hAnsi="Times New Roman" w:cstheme="minorHAnsi"/>
        </w:rPr>
      </w:pPr>
      <w:r>
        <w:rPr>
          <w:rFonts w:cstheme="minorHAnsi"/>
        </w:rPr>
        <w:t xml:space="preserve">Figure P3.4: Main sources of pollen. Frequency of plant species in the metabarcoding records of the site Belgium (for plants with more than 10 occurrences). </w:t>
      </w:r>
    </w:p>
    <w:p w14:paraId="22C0CC96" w14:textId="4A42C8A9" w:rsidR="00E5337A" w:rsidRDefault="00E5337A" w:rsidP="00E5337A">
      <w:pPr>
        <w:rPr>
          <w:rFonts w:ascii="Times New Roman" w:hAnsi="Times New Roman" w:cstheme="minorHAnsi"/>
        </w:rPr>
      </w:pPr>
    </w:p>
    <w:p w14:paraId="3F59CB26" w14:textId="5C7A3537" w:rsidR="00FD3697" w:rsidRPr="00CF4C2B" w:rsidRDefault="00FD3697" w:rsidP="00E5337A">
      <w:pPr>
        <w:pStyle w:val="Heading3"/>
        <w:rPr>
          <w:rFonts w:ascii="Times New Roman" w:hAnsi="Times New Roman"/>
          <w:color w:val="auto"/>
        </w:rPr>
      </w:pPr>
      <w:r w:rsidRPr="00CF4C2B">
        <w:rPr>
          <w:color w:val="auto"/>
        </w:rPr>
        <w:t>Land-use intensity index (LUI)</w:t>
      </w:r>
    </w:p>
    <w:p w14:paraId="2A01A17A" w14:textId="267F5035" w:rsidR="00FD3697" w:rsidRDefault="00FD3697" w:rsidP="00FD3697">
      <w:pPr>
        <w:spacing w:before="240" w:line="360" w:lineRule="auto"/>
        <w:jc w:val="both"/>
        <w:rPr>
          <w:rFonts w:cstheme="minorHAnsi"/>
          <w:sz w:val="24"/>
          <w:szCs w:val="24"/>
        </w:rPr>
      </w:pPr>
      <w:r>
        <w:rPr>
          <w:rFonts w:cstheme="minorHAnsi"/>
          <w:sz w:val="24"/>
          <w:szCs w:val="24"/>
        </w:rPr>
        <w:t>Our plots were located along</w:t>
      </w:r>
      <w:r w:rsidRPr="005D2A31">
        <w:rPr>
          <w:rFonts w:cstheme="minorHAnsi"/>
          <w:sz w:val="24"/>
          <w:szCs w:val="24"/>
        </w:rPr>
        <w:t xml:space="preserve"> a land-use intensity</w:t>
      </w:r>
      <w:r>
        <w:rPr>
          <w:rFonts w:cstheme="minorHAnsi"/>
          <w:sz w:val="24"/>
          <w:szCs w:val="24"/>
        </w:rPr>
        <w:t xml:space="preserve"> (LUI)</w:t>
      </w:r>
      <w:r w:rsidRPr="005D2A31">
        <w:rPr>
          <w:rFonts w:cstheme="minorHAnsi"/>
          <w:sz w:val="24"/>
          <w:szCs w:val="24"/>
        </w:rPr>
        <w:t xml:space="preserve"> gradient, which can be measured as a continuous variable </w:t>
      </w:r>
      <w:r>
        <w:rPr>
          <w:rFonts w:cstheme="minorHAnsi"/>
          <w:sz w:val="24"/>
          <w:szCs w:val="24"/>
        </w:rPr>
        <w:t>following</w:t>
      </w:r>
      <w:r w:rsidRPr="005D2A31">
        <w:rPr>
          <w:rFonts w:cstheme="minorHAnsi"/>
          <w:sz w:val="24"/>
          <w:szCs w:val="24"/>
        </w:rPr>
        <w:t xml:space="preserve"> </w:t>
      </w:r>
      <w:bookmarkStart w:id="1" w:name="_Hlk165796513"/>
      <w:r w:rsidRPr="005D2A31">
        <w:rPr>
          <w:rFonts w:cstheme="minorHAnsi"/>
          <w:sz w:val="24"/>
          <w:szCs w:val="24"/>
        </w:rPr>
        <w:fldChar w:fldCharType="begin"/>
      </w:r>
      <w:r>
        <w:rPr>
          <w:rFonts w:cstheme="minorHAnsi"/>
          <w:sz w:val="24"/>
          <w:szCs w:val="24"/>
        </w:rPr>
        <w:instrText xml:space="preserve"> ADDIN ZOTERO_ITEM CSL_CITATION {"citationID":"3SHydWhd","properties":{"formattedCitation":"(Bl\\uc0\\u252{}thgen et al., 2012)","plainCitation":"(Blüthgen et al., 2012)","noteIndex":0},"citationItems":[{"id":3478,"uris":["http://zotero.org/users/2814850/items/IQ5VJ5UZ"],"itemData":{"id":3478,"type":"article-journal","abstract":"Land use is increasingly recognized as a major driver of biodiversity and ecosystem functioning in many current research projects. In grasslands, land use is often classified by categorical descriptors such as pastures versus meadows or fertilized versus unfertilized sites. However, to account for the quantitative variation of multiple land-use types in heterogeneous landscapes, a quantitative, continuous index of land-use intensity (LUI) is desirable. Here we define such a compound, additive LUI index for managed grasslands including meadows and pastures. The LUI index summarizes the standardized intensity of three components of land use, namely fertilization, mowing, and livestock grazing at each site. We examined the performance of the LUI index to predict selected response variables on up to 150 grassland sites in the Biodiversity Exploratories in three regions in Germany (Alb, Hainich, Schorfheide). We tested the average Ellenberg nitrogen indicator values of the plant community, nitrogen and phosphorus concentration in the aboveground plant biomass, plant-available phosphorus concentration in the top soil, and soil C/N ratio, and the first principle component of these five response variables. The LUI index significantly predicted the principal component of all five response variables, as well as some of the individual responses. Moreover, vascular plant diversity decreased significantly with LUI in two regions (Alb and Hainich). Inter-annual changes in management practice were pronounced from 2006 to 2008, particularly due to variation in grazing intensity. This rendered the selection of the appropriate reference year(s) an important decision for analyses of land-use effects, whereas details in the standardization of the index were of minor importance. We also tested several alternative calculations of a LUI index, but all are strongly linearly correlated to the proposed index. The proposed LUI index reduces the complexity of agricultural practices to a single dimension and may serve as a baseline to test how different groups of organisms and processes respond to land use. In combination with more detailed analyses, this index may help to unravel whether and how land-use intensities, associated disturbance levels or other local or regional influences drive ecological processes.\nZusammenfassung\nMenschliche Landnutzung als wichtiger Treiber für die Biodiversität und Funktionen von Ökosystemen wird zunehmend in Forschungsprojekte einbezogen. Im Grünland wird die Landnutzung dazu meist durch kategoriale Variablen beschrieben wie etwa Weiden vs. Wiesen oder gedüngte vs. ungedüngte Flächen. Um jedoch die quantitative Variation in der Intensität der Landnutzung besser beschreiben zu können sind kontinuierliche Maße der Landnutzung wünschenswert. Wir führen einen quantitativen Index zur Beschreibung der Landnutzungsintensität (LUI; land-use intensity) in bewirtschaftetem Grünland ein. Der LUI Index standardisiert und addiert drei wesentliche Komponenten der Grünlandnutzung, die Beweidung, die Mahd und die Düngung. Die Effizienz des LUI Index in Bezug auf die Vorhersagefähigkeit einer Reihe landnutzungsabhängiger Variablen wurde im Rahmen des Projekts Biodiversitätsexploratorien am Beispiel von 150 Grünlandflächen in drei Regionen Deutschlands (Alb, Hainich, Schorfheide) geprüft. Die Prüfvariablen umfassten die Stickstoffzahl nach Ellenberg, die Stickstoff- und Phosphorkonzentrationen in der Biomasse, die Konzentrationen von pflanzenverfügbarem Phosphor im Oberboden, das Boden-C/N-Verhältnis sowie die erste Hauptkomponente einer Ordination dieser Variablen. Während der LUI Index Änderungen in der ersten Hauptkomponente der Antwortvariablen sowie einiger Einzelvariablen signifikant vorhersagte, waren Regressionen mit einzelnen LUI Komponenten problematisch, da diese Komponenten wie die Düngungsintensität oder Mahdfrequenz miteinander korreliert und somit konfundiert sind. Das Management der Grünlandflächen variierte im Zeitraum 2006 bis 2008 von Jahr zu Jahr, insbesondere aufgrund von Änderungen in der Beweidungsintensität. Das Referenzjahr für die Berechnungen der LUI war daher sehr wichtig, während verschiedene Standardisierungsmethoden keinen großen Einfluss auf den Index hatten. Einige alternative Berechnungsmethoden der Landnutzungsintensität korrelierten stark mit der vorschlagenen Form des Index. Der LUI Index reduziert die verschiedenen, miteinander korrelierten Dimensionen der menschlichen Landnutzung im Grünland zu einer kontinuierlichen Variable und kann dazu dienen, die Abhängigkeit verschiedener Organismengruppen und Prozesse von der menschlichen Landnutzung zu prüfen. In Verbindung mit detaillierten Analysen kann die Verwendung dieses Index helfen, die relative Bedeutung der menschlichen Landnutzung im Vergleich zu anderen lokalen oder regionalen Faktoren zu erkennen.","container-title":"Basic and Applied Ecology","DOI":"10.1016/j.baae.2012.04.001","ISSN":"1439-1791","issue":"3","journalAbbreviation":"Basic and Applied Ecology","page":"207-220","title":"A quantitative index of land-use intensity in grasslands: Integrating mowing, grazing and fertilization","volume":"13","author":[{"family":"Blüthgen","given":"Nico"},{"family":"Dormann","given":"Carsten F."},{"family":"Prati","given":"Daniel"},{"family":"Klaus","given":"Valentin H."},{"family":"Kleinebecker","given":"Till"},{"family":"Hölzel","given":"Norbert"},{"family":"Alt","given":"Fabian"},{"family":"Boch","given":"Steffen"},{"family":"Gockel","given":"Sonja"},{"family":"Hemp","given":"Andreas"},{"family":"Müller","given":"Jörg"},{"family":"Nieschulze","given":"Jens"},{"family":"Renner","given":"Swen C."},{"family":"Schöning","given":"Ingo"},{"family":"Schumacher","given":"Uta"},{"family":"Socher","given":"Stephanie A."},{"family":"Wells","given":"Konstans"},{"family":"Birkhofer","given":"Klaus"},{"family":"Buscot","given":"François"},{"family":"Oelmann","given":"Yvonne"},{"family":"Rothenwöhrer","given":"Christoph"},{"family":"Scherber","given":"Christoph"},{"family":"Tscharntke","given":"Teja"},{"family":"Weiner","given":"Christiane N."},{"family":"Fischer","given":"Markus"},{"family":"Kalko","given":"Elisabeth K.V."},{"family":"Linsenmair","given":"Karl Eduard"},{"family":"Schulze","given":"Ernst-Detlef"},{"family":"Weisser","given":"Wolfgang W."}],"issued":{"date-parts":[["2012",5,1]]}}}],"schema":"https://github.com/citation-style-language/schema/raw/master/csl-citation.json"} </w:instrText>
      </w:r>
      <w:r w:rsidRPr="005D2A31">
        <w:rPr>
          <w:rFonts w:cstheme="minorHAnsi"/>
          <w:sz w:val="24"/>
          <w:szCs w:val="24"/>
        </w:rPr>
        <w:fldChar w:fldCharType="separate"/>
      </w:r>
      <w:r w:rsidRPr="005D2A31">
        <w:rPr>
          <w:rFonts w:cstheme="minorHAnsi"/>
          <w:sz w:val="24"/>
          <w:szCs w:val="24"/>
          <w:lang w:val="en-GB"/>
        </w:rPr>
        <w:t>(Blüthgen et al., 2012)</w:t>
      </w:r>
      <w:r w:rsidRPr="005D2A31">
        <w:rPr>
          <w:rFonts w:cstheme="minorHAnsi"/>
          <w:sz w:val="24"/>
          <w:szCs w:val="24"/>
        </w:rPr>
        <w:fldChar w:fldCharType="end"/>
      </w:r>
      <w:bookmarkEnd w:id="1"/>
      <w:r>
        <w:rPr>
          <w:rFonts w:cstheme="minorHAnsi"/>
          <w:sz w:val="24"/>
          <w:szCs w:val="24"/>
        </w:rPr>
        <w:t xml:space="preserve"> and based</w:t>
      </w:r>
      <w:r w:rsidRPr="005D2A31">
        <w:rPr>
          <w:rFonts w:cstheme="minorHAnsi"/>
          <w:sz w:val="24"/>
          <w:szCs w:val="24"/>
        </w:rPr>
        <w:t xml:space="preserve"> on </w:t>
      </w:r>
      <w:r>
        <w:rPr>
          <w:rFonts w:cstheme="minorHAnsi"/>
          <w:sz w:val="24"/>
          <w:szCs w:val="24"/>
        </w:rPr>
        <w:t xml:space="preserve">the </w:t>
      </w:r>
      <w:r w:rsidRPr="005D2A31">
        <w:rPr>
          <w:rFonts w:cstheme="minorHAnsi"/>
          <w:sz w:val="24"/>
          <w:szCs w:val="24"/>
        </w:rPr>
        <w:t xml:space="preserve">frequency of mowing, </w:t>
      </w:r>
      <w:r>
        <w:rPr>
          <w:rFonts w:cstheme="minorHAnsi"/>
          <w:sz w:val="24"/>
          <w:szCs w:val="24"/>
        </w:rPr>
        <w:t xml:space="preserve">the </w:t>
      </w:r>
      <w:r w:rsidRPr="005D2A31">
        <w:rPr>
          <w:rFonts w:cstheme="minorHAnsi"/>
          <w:sz w:val="24"/>
          <w:szCs w:val="24"/>
        </w:rPr>
        <w:t>frequency and amount of grazing animals</w:t>
      </w:r>
      <w:r w:rsidRPr="00DE00F8">
        <w:rPr>
          <w:rFonts w:cstheme="minorHAnsi"/>
          <w:sz w:val="24"/>
          <w:szCs w:val="24"/>
        </w:rPr>
        <w:t xml:space="preserve"> </w:t>
      </w:r>
      <w:r w:rsidRPr="005D2A31">
        <w:rPr>
          <w:rFonts w:cstheme="minorHAnsi"/>
          <w:sz w:val="24"/>
          <w:szCs w:val="24"/>
        </w:rPr>
        <w:t>(livestock units days of grazing ha</w:t>
      </w:r>
      <w:r w:rsidRPr="005D2A31">
        <w:rPr>
          <w:rFonts w:cstheme="minorHAnsi"/>
          <w:sz w:val="24"/>
          <w:szCs w:val="24"/>
          <w:vertAlign w:val="superscript"/>
        </w:rPr>
        <w:t>−1</w:t>
      </w:r>
      <w:r w:rsidRPr="005D2A31">
        <w:rPr>
          <w:rFonts w:cstheme="minorHAnsi"/>
          <w:sz w:val="24"/>
          <w:szCs w:val="24"/>
        </w:rPr>
        <w:t xml:space="preserve"> year</w:t>
      </w:r>
      <w:r w:rsidRPr="005D2A31">
        <w:rPr>
          <w:rFonts w:cstheme="minorHAnsi"/>
          <w:sz w:val="24"/>
          <w:szCs w:val="24"/>
          <w:vertAlign w:val="superscript"/>
        </w:rPr>
        <w:t>−1</w:t>
      </w:r>
      <w:r w:rsidRPr="005D2A31">
        <w:rPr>
          <w:rFonts w:cstheme="minorHAnsi"/>
          <w:sz w:val="24"/>
          <w:szCs w:val="24"/>
        </w:rPr>
        <w:t xml:space="preserve">) and </w:t>
      </w:r>
      <w:r>
        <w:rPr>
          <w:rFonts w:cstheme="minorHAnsi"/>
          <w:sz w:val="24"/>
          <w:szCs w:val="24"/>
        </w:rPr>
        <w:t xml:space="preserve">the </w:t>
      </w:r>
      <w:r w:rsidRPr="005D2A31">
        <w:rPr>
          <w:rFonts w:cstheme="minorHAnsi"/>
          <w:sz w:val="24"/>
          <w:szCs w:val="24"/>
        </w:rPr>
        <w:t>amount of fertilizer used in the field</w:t>
      </w:r>
      <w:r>
        <w:rPr>
          <w:rFonts w:cstheme="minorHAnsi"/>
          <w:sz w:val="24"/>
          <w:szCs w:val="24"/>
        </w:rPr>
        <w:t xml:space="preserve"> </w:t>
      </w:r>
      <w:r w:rsidRPr="005D2A31">
        <w:rPr>
          <w:rFonts w:cstheme="minorHAnsi"/>
          <w:sz w:val="24"/>
          <w:szCs w:val="24"/>
        </w:rPr>
        <w:t>(kg nitrogen ha</w:t>
      </w:r>
      <w:r w:rsidRPr="005D2A31">
        <w:rPr>
          <w:rFonts w:cstheme="minorHAnsi"/>
          <w:sz w:val="24"/>
          <w:szCs w:val="24"/>
          <w:vertAlign w:val="superscript"/>
        </w:rPr>
        <w:t>−1</w:t>
      </w:r>
      <w:r w:rsidRPr="005D2A31">
        <w:rPr>
          <w:rFonts w:cstheme="minorHAnsi"/>
          <w:sz w:val="24"/>
          <w:szCs w:val="24"/>
        </w:rPr>
        <w:t xml:space="preserve"> year</w:t>
      </w:r>
      <w:r w:rsidRPr="005D2A31">
        <w:rPr>
          <w:rFonts w:cstheme="minorHAnsi"/>
          <w:sz w:val="24"/>
          <w:szCs w:val="24"/>
          <w:vertAlign w:val="superscript"/>
        </w:rPr>
        <w:t>−1</w:t>
      </w:r>
      <w:r w:rsidRPr="005D2A31">
        <w:rPr>
          <w:rFonts w:cstheme="minorHAnsi"/>
          <w:sz w:val="24"/>
          <w:szCs w:val="24"/>
        </w:rPr>
        <w:t xml:space="preserve"> </w:t>
      </w:r>
      <w:r>
        <w:rPr>
          <w:rFonts w:cstheme="minorHAnsi"/>
          <w:sz w:val="24"/>
          <w:szCs w:val="24"/>
        </w:rPr>
        <w:t xml:space="preserve">) </w:t>
      </w:r>
      <w:r w:rsidRPr="005D2A31">
        <w:rPr>
          <w:rFonts w:cstheme="minorHAnsi"/>
          <w:sz w:val="24"/>
          <w:szCs w:val="24"/>
        </w:rPr>
        <w:fldChar w:fldCharType="begin"/>
      </w:r>
      <w:r w:rsidR="00F16B50">
        <w:rPr>
          <w:rFonts w:cstheme="minorHAnsi"/>
          <w:sz w:val="24"/>
          <w:szCs w:val="24"/>
        </w:rPr>
        <w:instrText xml:space="preserve"> ADDIN ZOTERO_ITEM CSL_CITATION {"citationID":"KLDcbjR5","properties":{"formattedCitation":"(Bl\\uc0\\u252{}thgen et al., 2012; Ostrowski et al., 2020; Vogt et al., 2019)","plainCitation":"(Blüthgen et al., 2012; Ostrowski et al., 2020; Vogt et al., 2019)","noteIndex":0},"citationItems":[{"id":3478,"uris":["http://zotero.org/users/2814850/items/IQ5VJ5UZ"],"itemData":{"id":3478,"type":"article-journal","abstract":"Land use is increasingly recognized as a major driver of biodiversity and ecosystem functioning in many current research projects. In grasslands, land use is often classified by categorical descriptors such as pastures versus meadows or fertilized versus unfertilized sites. However, to account for the quantitative variation of multiple land-use types in heterogeneous landscapes, a quantitative, continuous index of land-use intensity (LUI) is desirable. Here we define such a compound, additive LUI index for managed grasslands including meadows and pastures. The LUI index summarizes the standardized intensity of three components of land use, namely fertilization, mowing, and livestock grazing at each site. We examined the performance of the LUI index to predict selected response variables on up to 150 grassland sites in the Biodiversity Exploratories in three regions in Germany (Alb, Hainich, Schorfheide). We tested the average Ellenberg nitrogen indicator values of the plant community, nitrogen and phosphorus concentration in the aboveground plant biomass, plant-available phosphorus concentration in the top soil, and soil C/N ratio, and the first principle component of these five response variables. The LUI index significantly predicted the principal component of all five response variables, as well as some of the individual responses. Moreover, vascular plant diversity decreased significantly with LUI in two regions (Alb and Hainich). Inter-annual changes in management practice were pronounced from 2006 to 2008, particularly due to variation in grazing intensity. This rendered the selection of the appropriate reference year(s) an important decision for analyses of land-use effects, whereas details in the standardization of the index were of minor importance. We also tested several alternative calculations of a LUI index, but all are strongly linearly correlated to the proposed index. The proposed LUI index reduces the complexity of agricultural practices to a single dimension and may serve as a baseline to test how different groups of organisms and processes respond to land use. In combination with more detailed analyses, this index may help to unravel whether and how land-use intensities, associated disturbance levels or other local or regional influences drive ecological processes.\nZusammenfassung\nMenschliche Landnutzung als wichtiger Treiber für die Biodiversität und Funktionen von Ökosystemen wird zunehmend in Forschungsprojekte einbezogen. Im Grünland wird die Landnutzung dazu meist durch kategoriale Variablen beschrieben wie etwa Weiden vs. Wiesen oder gedüngte vs. ungedüngte Flächen. Um jedoch die quantitative Variation in der Intensität der Landnutzung besser beschreiben zu können sind kontinuierliche Maße der Landnutzung wünschenswert. Wir führen einen quantitativen Index zur Beschreibung der Landnutzungsintensität (LUI; land-use intensity) in bewirtschaftetem Grünland ein. Der LUI Index standardisiert und addiert drei wesentliche Komponenten der Grünlandnutzung, die Beweidung, die Mahd und die Düngung. Die Effizienz des LUI Index in Bezug auf die Vorhersagefähigkeit einer Reihe landnutzungsabhängiger Variablen wurde im Rahmen des Projekts Biodiversitätsexploratorien am Beispiel von 150 Grünlandflächen in drei Regionen Deutschlands (Alb, Hainich, Schorfheide) geprüft. Die Prüfvariablen umfassten die Stickstoffzahl nach Ellenberg, die Stickstoff- und Phosphorkonzentrationen in der Biomasse, die Konzentrationen von pflanzenverfügbarem Phosphor im Oberboden, das Boden-C/N-Verhältnis sowie die erste Hauptkomponente einer Ordination dieser Variablen. Während der LUI Index Änderungen in der ersten Hauptkomponente der Antwortvariablen sowie einiger Einzelvariablen signifikant vorhersagte, waren Regressionen mit einzelnen LUI Komponenten problematisch, da diese Komponenten wie die Düngungsintensität oder Mahdfrequenz miteinander korreliert und somit konfundiert sind. Das Management der Grünlandflächen variierte im Zeitraum 2006 bis 2008 von Jahr zu Jahr, insbesondere aufgrund von Änderungen in der Beweidungsintensität. Das Referenzjahr für die Berechnungen der LUI war daher sehr wichtig, während verschiedene Standardisierungsmethoden keinen großen Einfluss auf den Index hatten. Einige alternative Berechnungsmethoden der Landnutzungsintensität korrelierten stark mit der vorschlagenen Form des Index. Der LUI Index reduziert die verschiedenen, miteinander korrelierten Dimensionen der menschlichen Landnutzung im Grünland zu einer kontinuierlichen Variable und kann dazu dienen, die Abhängigkeit verschiedener Organismengruppen und Prozesse von der menschlichen Landnutzung zu prüfen. In Verbindung mit detaillierten Analysen kann die Verwendung dieses Index helfen, die relative Bedeutung der menschlichen Landnutzung im Vergleich zu anderen lokalen oder regionalen Faktoren zu erkennen.","container-title":"Basic and Applied Ecology","DOI":"10.1016/j.baae.2012.04.001","ISSN":"1439-1791","issue":"3","journalAbbreviation":"Basic and Applied Ecology","page":"207-220","title":"A quantitative index of land-use intensity in grasslands: Integrating mowing, grazing and fertilization","volume":"13","author":[{"family":"Blüthgen","given":"Nico"},{"family":"Dormann","given":"Carsten F."},{"family":"Prati","given":"Daniel"},{"family":"Klaus","given":"Valentin H."},{"family":"Kleinebecker","given":"Till"},{"family":"Hölzel","given":"Norbert"},{"family":"Alt","given":"Fabian"},{"family":"Boch","given":"Steffen"},{"family":"Gockel","given":"Sonja"},{"family":"Hemp","given":"Andreas"},{"family":"Müller","given":"Jörg"},{"family":"Nieschulze","given":"Jens"},{"family":"Renner","given":"Swen C."},{"family":"Schöning","given":"Ingo"},{"family":"Schumacher","given":"Uta"},{"family":"Socher","given":"Stephanie A."},{"family":"Wells","given":"Konstans"},{"family":"Birkhofer","given":"Klaus"},{"family":"Buscot","given":"François"},{"family":"Oelmann","given":"Yvonne"},{"family":"Rothenwöhrer","given":"Christoph"},{"family":"Scherber","given":"Christoph"},{"family":"Tscharntke","given":"Teja"},{"family":"Weiner","given":"Christiane N."},{"family":"Fischer","given":"Markus"},{"family":"Kalko","given":"Elisabeth K.V."},{"family":"Linsenmair","given":"Karl Eduard"},{"family":"Schulze","given":"Ernst-Detlef"},{"family":"Weisser","given":"Wolfgang W."}],"issued":{"date-parts":[["2012",5,1]]}}},{"id":3323,"uris":["http://zotero.org/users/2814850/items/M8WUEFUB"],"itemData":{"id":3323,"type":"software","note":"DOI: 10.5281/zenodo.3865579","publisher":"Zenodo","title":"Land use intensity index (LUI) calculation tool of the Biodiversity Exploratories project for grassland survey data from three different regions in Germany since 2006, BEXIS 2 module","URL":"https://doi.org/10.5281/zenodo.3865579","version":"v2.0.0","author":[{"family":"Ostrowski","given":"Andreas"},{"family":"Lorenzen","given":"Katrin"},{"family":"Petzold","given":"Eleonora"},{"family":"Schindler","given":"Sirko"}],"issued":{"date-parts":[["2020",5]]}}},{"id":3324,"uris":["http://zotero.org/users/2814850/items/7AUPMFTG"],"itemData":{"id":3324,"type":"article-journal","container-title":"Biodiversity Data Journal","DOI":"10.3897/BDJ.7.e36387","ISSN":"1314-2836","journalAbbreviation":"BDJ","note":"publisher: Pensoft Publishers","page":"e36387","title":"Eleven years’ data of grassland management in Germany","volume":"7","author":[{"family":"Vogt","given":"Juliane"},{"family":"Klaus","given":"Valentin H."},{"family":"Both","given":"Steffen"},{"family":"Fürstenau","given":"Cornelia"},{"family":"Gockel","given":"Sonja"},{"family":"Gossner","given":"Martin M."},{"family":"Heinze","given":"Johannes"},{"family":"Hemp","given":"Andreas"},{"family":"Hölzel","given":"Nobert"},{"family":"Jung","given":"Kirsten"},{"family":"Kleinebecker","given":"Till"},{"family":"Lauterbach","given":"Ralf"},{"family":"Lorenzen","given":"Katrin"},{"family":"Ostrowski","given":"Andreas"},{"family":"Otto","given":"Niclas"},{"family":"Prati","given":"Daniel"},{"family":"Renner","given":"Swen"},{"family":"Schumacher","given":"Uta"},{"family":"Seibold","given":"Sebastian"},{"family":"Simons","given":"Nadja K."},{"family":"Steitz","given":"Iris"},{"family":"Teuscher","given":"Miriam"},{"family":"Thiele","given":"Jan"},{"family":"Weithmann","given":"Sandra"},{"family":"Wells","given":"Konstans"},{"family":"Wiesner","given":"Kerstin"},{"family":"Ayasse","given":"Manfred"},{"family":"Blüthgen","given":"Nico"},{"family":"Fischer","given":"Markus"},{"family":"Weisser","given":"Wolfgang W."}],"issued":{"date-parts":[["2019",9,27]]}}}],"schema":"https://github.com/citation-style-language/schema/raw/master/csl-citation.json"} </w:instrText>
      </w:r>
      <w:r w:rsidRPr="005D2A31">
        <w:rPr>
          <w:rFonts w:cstheme="minorHAnsi"/>
          <w:sz w:val="24"/>
          <w:szCs w:val="24"/>
        </w:rPr>
        <w:fldChar w:fldCharType="separate"/>
      </w:r>
      <w:r w:rsidR="00F16B50" w:rsidRPr="00F16B50">
        <w:rPr>
          <w:rFonts w:ascii="Calibri" w:hAnsi="Calibri" w:cs="Calibri"/>
          <w:sz w:val="24"/>
          <w:szCs w:val="24"/>
        </w:rPr>
        <w:t>(Blüthgen et al., 2012; Ostrowski et al., 2020; Vogt et al., 2019)</w:t>
      </w:r>
      <w:r w:rsidRPr="005D2A31">
        <w:rPr>
          <w:rFonts w:cstheme="minorHAnsi"/>
          <w:sz w:val="24"/>
          <w:szCs w:val="24"/>
        </w:rPr>
        <w:fldChar w:fldCharType="end"/>
      </w:r>
      <w:r w:rsidRPr="005D2A31">
        <w:rPr>
          <w:rFonts w:cstheme="minorHAnsi"/>
          <w:sz w:val="24"/>
          <w:szCs w:val="24"/>
        </w:rPr>
        <w:t>.</w:t>
      </w:r>
      <w:r>
        <w:rPr>
          <w:rFonts w:cstheme="minorHAnsi"/>
          <w:sz w:val="24"/>
          <w:szCs w:val="24"/>
        </w:rPr>
        <w:t xml:space="preserve"> To help interpret this index for our study plots, we explored a priori which LUI components contributed the most to the general index in our subset of plots in 2021</w:t>
      </w:r>
      <w:r w:rsidR="00F54C37">
        <w:rPr>
          <w:rFonts w:cstheme="minorHAnsi"/>
          <w:sz w:val="24"/>
          <w:szCs w:val="24"/>
        </w:rPr>
        <w:t xml:space="preserve"> (Figure P3.5)</w:t>
      </w:r>
      <w:r>
        <w:rPr>
          <w:rFonts w:cstheme="minorHAnsi"/>
          <w:sz w:val="24"/>
          <w:szCs w:val="24"/>
        </w:rPr>
        <w:t>. Mowing and grazing were rarely performed at the same plot, but alternated, and only 6 out of our 26 plots were fertilized</w:t>
      </w:r>
      <w:r w:rsidR="000F528A">
        <w:rPr>
          <w:rFonts w:cstheme="minorHAnsi"/>
          <w:sz w:val="24"/>
          <w:szCs w:val="24"/>
        </w:rPr>
        <w:t xml:space="preserve">. </w:t>
      </w:r>
      <w:r>
        <w:rPr>
          <w:rFonts w:cstheme="minorHAnsi"/>
          <w:sz w:val="24"/>
          <w:szCs w:val="24"/>
        </w:rPr>
        <w:t xml:space="preserve">Consequently, high intensity land-use at our plots were driven mainly by a combination of high fertilization and strong grazing activity. </w:t>
      </w:r>
    </w:p>
    <w:p w14:paraId="2E28322E" w14:textId="77777777" w:rsidR="00F54C37" w:rsidRDefault="00E5337A" w:rsidP="00F54C37">
      <w:pPr>
        <w:spacing w:before="240" w:line="360" w:lineRule="auto"/>
        <w:jc w:val="both"/>
        <w:rPr>
          <w:rFonts w:cstheme="minorHAnsi"/>
          <w:sz w:val="24"/>
          <w:szCs w:val="24"/>
        </w:rPr>
      </w:pPr>
      <w:r>
        <w:rPr>
          <w:noProof/>
        </w:rPr>
        <w:lastRenderedPageBreak/>
        <w:drawing>
          <wp:anchor distT="0" distB="0" distL="114300" distR="114300" simplePos="0" relativeHeight="251763712" behindDoc="1" locked="0" layoutInCell="1" allowOverlap="1" wp14:anchorId="0AD8168C" wp14:editId="1AC55633">
            <wp:simplePos x="0" y="0"/>
            <wp:positionH relativeFrom="margin">
              <wp:align>right</wp:align>
            </wp:positionH>
            <wp:positionV relativeFrom="paragraph">
              <wp:posOffset>480</wp:posOffset>
            </wp:positionV>
            <wp:extent cx="5943600" cy="5943600"/>
            <wp:effectExtent l="0" t="0" r="0" b="0"/>
            <wp:wrapTight wrapText="bothSides">
              <wp:wrapPolygon edited="0">
                <wp:start x="0" y="0"/>
                <wp:lineTo x="0" y="21531"/>
                <wp:lineTo x="21531" y="21531"/>
                <wp:lineTo x="21531" y="0"/>
                <wp:lineTo x="0" y="0"/>
              </wp:wrapPolygon>
            </wp:wrapTight>
            <wp:docPr id="606349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E5AFB6" w14:textId="6ED21801" w:rsidR="00FD3697" w:rsidRPr="00F54C37" w:rsidRDefault="00F54C37" w:rsidP="00F54C37">
      <w:pPr>
        <w:rPr>
          <w:rFonts w:cstheme="minorHAnsi"/>
          <w:sz w:val="24"/>
          <w:szCs w:val="24"/>
        </w:rPr>
      </w:pPr>
      <w:r>
        <w:t xml:space="preserve">Figure P3.5: </w:t>
      </w:r>
      <w:r w:rsidR="00FD3697">
        <w:t xml:space="preserve">Index values of the three individual land-use intensity (LUI) components (grazing (black), mowing (blue) and fertilization (green)) for a better interpretation of the mechanisms behind the general LUI Index. </w:t>
      </w:r>
    </w:p>
    <w:p w14:paraId="6C928B18" w14:textId="77777777" w:rsidR="00FD3697" w:rsidRDefault="00FD3697" w:rsidP="00FD3697">
      <w:pPr>
        <w:pStyle w:val="Tableheading"/>
      </w:pPr>
    </w:p>
    <w:p w14:paraId="60EC2C93" w14:textId="0BB9AE08" w:rsidR="00FD3697" w:rsidRDefault="00FD3697" w:rsidP="00FD3697">
      <w:pPr>
        <w:spacing w:before="240" w:line="360" w:lineRule="auto"/>
        <w:jc w:val="both"/>
        <w:rPr>
          <w:rFonts w:cstheme="minorHAnsi"/>
          <w:sz w:val="24"/>
          <w:szCs w:val="24"/>
        </w:rPr>
      </w:pPr>
    </w:p>
    <w:p w14:paraId="7E669738" w14:textId="77777777" w:rsidR="00FD3697" w:rsidRDefault="00FD3697" w:rsidP="00FD3697">
      <w:pPr>
        <w:spacing w:before="240" w:line="360" w:lineRule="auto"/>
        <w:jc w:val="both"/>
        <w:rPr>
          <w:rFonts w:cstheme="minorHAnsi"/>
          <w:sz w:val="24"/>
          <w:szCs w:val="24"/>
        </w:rPr>
      </w:pPr>
    </w:p>
    <w:p w14:paraId="2EC3CF0A" w14:textId="77777777" w:rsidR="00FD3697" w:rsidRPr="00CF4C2B" w:rsidRDefault="00FD3697" w:rsidP="00FD3697">
      <w:pPr>
        <w:pStyle w:val="Heading3"/>
        <w:rPr>
          <w:rFonts w:asciiTheme="minorHAnsi" w:hAnsiTheme="minorHAnsi" w:cstheme="minorHAnsi"/>
          <w:color w:val="auto"/>
        </w:rPr>
      </w:pPr>
      <w:r w:rsidRPr="00CF4C2B">
        <w:rPr>
          <w:rFonts w:asciiTheme="minorHAnsi" w:hAnsiTheme="minorHAnsi" w:cstheme="minorHAnsi"/>
          <w:color w:val="auto"/>
        </w:rPr>
        <w:lastRenderedPageBreak/>
        <w:t>Land-use heterogeneity index (LHI)</w:t>
      </w:r>
    </w:p>
    <w:p w14:paraId="28EA6CB4" w14:textId="77777777" w:rsidR="00FD3697" w:rsidRDefault="00FD3697" w:rsidP="00FD3697">
      <w:pPr>
        <w:spacing w:after="0"/>
        <w:rPr>
          <w:rFonts w:ascii="Times New Roman" w:hAnsi="Times New Roman"/>
        </w:rPr>
      </w:pPr>
    </w:p>
    <w:p w14:paraId="44590677" w14:textId="77777777" w:rsidR="00FD3697" w:rsidRPr="00DD1187" w:rsidRDefault="00FD3697" w:rsidP="00FD3697">
      <w:pPr>
        <w:shd w:val="clear" w:color="auto" w:fill="FFFFFF"/>
        <w:spacing w:after="0" w:line="360" w:lineRule="auto"/>
        <w:jc w:val="both"/>
        <w:textAlignment w:val="baseline"/>
        <w:rPr>
          <w:rFonts w:cstheme="minorHAnsi"/>
          <w:sz w:val="24"/>
          <w:szCs w:val="24"/>
        </w:rPr>
      </w:pPr>
      <w:r>
        <w:rPr>
          <w:rFonts w:cstheme="minorHAnsi"/>
          <w:sz w:val="24"/>
          <w:szCs w:val="24"/>
        </w:rPr>
        <w:t>To capture diversity of habitats and land-uses in the surrounding landscape we</w:t>
      </w:r>
      <w:r w:rsidRPr="00DD1187">
        <w:rPr>
          <w:rFonts w:cstheme="minorHAnsi"/>
          <w:sz w:val="24"/>
          <w:szCs w:val="24"/>
        </w:rPr>
        <w:t xml:space="preserve"> calculate</w:t>
      </w:r>
      <w:r>
        <w:rPr>
          <w:rFonts w:cstheme="minorHAnsi"/>
          <w:sz w:val="24"/>
          <w:szCs w:val="24"/>
        </w:rPr>
        <w:t>d</w:t>
      </w:r>
      <w:r w:rsidRPr="00DD1187">
        <w:rPr>
          <w:rFonts w:cstheme="minorHAnsi"/>
          <w:sz w:val="24"/>
          <w:szCs w:val="24"/>
        </w:rPr>
        <w:t xml:space="preserve"> a </w:t>
      </w:r>
      <w:r>
        <w:rPr>
          <w:rFonts w:cstheme="minorHAnsi"/>
          <w:sz w:val="24"/>
          <w:szCs w:val="24"/>
        </w:rPr>
        <w:t xml:space="preserve">land-use heterogeneity </w:t>
      </w:r>
      <w:r w:rsidRPr="00DD1187">
        <w:rPr>
          <w:rFonts w:cstheme="minorHAnsi"/>
          <w:sz w:val="24"/>
          <w:szCs w:val="24"/>
        </w:rPr>
        <w:t xml:space="preserve">index </w:t>
      </w:r>
      <w:r>
        <w:rPr>
          <w:rFonts w:cstheme="minorHAnsi"/>
          <w:sz w:val="24"/>
          <w:szCs w:val="24"/>
        </w:rPr>
        <w:t xml:space="preserve">(LHI). We defined land-use classes based on ATKIS classifications as the dominant habitats (i.e. agricultural land, forest, woods, mire, heath, bare land, water, roads, settlements) and subtypes based on intrinsic characteristics and human modifications (i.e. agricultural land into cropland, orchard, vineyard, etc., forest into deciduous or perennial, roads into natural or paved). Single trees and forest or hedges at the border of farms were also accounted for as part of woods. </w:t>
      </w:r>
      <w:r w:rsidRPr="00DD1187">
        <w:rPr>
          <w:rFonts w:cstheme="minorHAnsi"/>
          <w:sz w:val="24"/>
          <w:szCs w:val="24"/>
        </w:rPr>
        <w:t xml:space="preserve">We used existing image databases to </w:t>
      </w:r>
      <w:r>
        <w:rPr>
          <w:rFonts w:cstheme="minorHAnsi"/>
          <w:sz w:val="24"/>
          <w:szCs w:val="24"/>
        </w:rPr>
        <w:t>classify the surrounding landscape</w:t>
      </w:r>
      <w:r w:rsidRPr="00DD1187">
        <w:rPr>
          <w:rFonts w:cstheme="minorHAnsi"/>
          <w:sz w:val="24"/>
          <w:szCs w:val="24"/>
        </w:rPr>
        <w:t xml:space="preserve"> </w:t>
      </w:r>
      <w:r>
        <w:rPr>
          <w:rFonts w:cstheme="minorHAnsi"/>
          <w:sz w:val="24"/>
          <w:szCs w:val="24"/>
        </w:rPr>
        <w:t>into</w:t>
      </w:r>
      <w:r w:rsidRPr="00DD1187">
        <w:rPr>
          <w:rFonts w:cstheme="minorHAnsi"/>
          <w:sz w:val="24"/>
          <w:szCs w:val="24"/>
        </w:rPr>
        <w:t xml:space="preserve"> different </w:t>
      </w:r>
      <w:r>
        <w:rPr>
          <w:rFonts w:cstheme="minorHAnsi"/>
          <w:sz w:val="24"/>
          <w:szCs w:val="24"/>
        </w:rPr>
        <w:t>land-use</w:t>
      </w:r>
      <w:r w:rsidRPr="00DD1187">
        <w:rPr>
          <w:rFonts w:cstheme="minorHAnsi"/>
          <w:sz w:val="24"/>
          <w:szCs w:val="24"/>
        </w:rPr>
        <w:t xml:space="preserve">s </w:t>
      </w:r>
      <w:r>
        <w:rPr>
          <w:rFonts w:cstheme="minorHAnsi"/>
          <w:sz w:val="24"/>
          <w:szCs w:val="24"/>
        </w:rPr>
        <w:t xml:space="preserve">and to </w:t>
      </w:r>
      <w:r w:rsidRPr="00DD1187">
        <w:rPr>
          <w:rFonts w:cstheme="minorHAnsi"/>
          <w:sz w:val="24"/>
          <w:szCs w:val="24"/>
        </w:rPr>
        <w:t xml:space="preserve">quantify the area of each </w:t>
      </w:r>
      <w:r>
        <w:rPr>
          <w:rFonts w:cstheme="minorHAnsi"/>
          <w:sz w:val="24"/>
          <w:szCs w:val="24"/>
        </w:rPr>
        <w:t>land-use</w:t>
      </w:r>
      <w:r w:rsidRPr="00DD1187">
        <w:rPr>
          <w:rFonts w:cstheme="minorHAnsi"/>
          <w:sz w:val="24"/>
          <w:szCs w:val="24"/>
        </w:rPr>
        <w:t>. For plots in Belgium</w:t>
      </w:r>
      <w:r>
        <w:rPr>
          <w:rFonts w:cstheme="minorHAnsi"/>
          <w:sz w:val="24"/>
          <w:szCs w:val="24"/>
        </w:rPr>
        <w:t>,</w:t>
      </w:r>
      <w:r w:rsidRPr="00DD1187">
        <w:rPr>
          <w:rFonts w:cstheme="minorHAnsi"/>
          <w:sz w:val="24"/>
          <w:szCs w:val="24"/>
        </w:rPr>
        <w:t xml:space="preserve"> we used the Biological Valuation Map (BVM) </w:t>
      </w:r>
      <w:r>
        <w:rPr>
          <w:rFonts w:cstheme="minorHAnsi"/>
          <w:sz w:val="24"/>
          <w:szCs w:val="24"/>
        </w:rPr>
        <w:t>which</w:t>
      </w:r>
      <w:r w:rsidRPr="00DD1187">
        <w:rPr>
          <w:rFonts w:cstheme="minorHAnsi"/>
          <w:sz w:val="24"/>
          <w:szCs w:val="24"/>
        </w:rPr>
        <w:t xml:space="preserve"> </w:t>
      </w:r>
      <w:r>
        <w:rPr>
          <w:rFonts w:cstheme="minorHAnsi"/>
          <w:sz w:val="24"/>
          <w:szCs w:val="24"/>
        </w:rPr>
        <w:t>surveys</w:t>
      </w:r>
      <w:r w:rsidRPr="00DD1187">
        <w:rPr>
          <w:rFonts w:cstheme="minorHAnsi"/>
          <w:sz w:val="24"/>
          <w:szCs w:val="24"/>
        </w:rPr>
        <w:t xml:space="preserve"> biologically relevant habitats in the Flemish Region of Belgium in the flowering season of the main dominant plant species</w:t>
      </w:r>
      <w:r>
        <w:rPr>
          <w:rFonts w:cstheme="minorHAnsi"/>
          <w:sz w:val="24"/>
          <w:szCs w:val="24"/>
        </w:rPr>
        <w:t xml:space="preserve"> once a decade</w:t>
      </w:r>
      <w:r w:rsidRPr="00DD1187">
        <w:rPr>
          <w:rFonts w:cstheme="minorHAnsi"/>
          <w:sz w:val="24"/>
          <w:szCs w:val="24"/>
        </w:rPr>
        <w:t xml:space="preserve"> </w:t>
      </w:r>
      <w:r w:rsidRPr="00DD1187">
        <w:rPr>
          <w:rFonts w:cstheme="minorHAnsi"/>
          <w:sz w:val="24"/>
          <w:szCs w:val="24"/>
        </w:rPr>
        <w:fldChar w:fldCharType="begin"/>
      </w:r>
      <w:r>
        <w:rPr>
          <w:rFonts w:cstheme="minorHAnsi"/>
          <w:sz w:val="24"/>
          <w:szCs w:val="24"/>
        </w:rPr>
        <w:instrText xml:space="preserve"> ADDIN ZOTERO_ITEM CSL_CITATION {"citationID":"Dh8QNDKE","properties":{"formattedCitation":"(De Saeger et al., 2017)","plainCitation":"(De Saeger et al., 2017)","noteIndex":0},"citationItems":[{"id":3321,"uris":["http://zotero.org/users/2814850/items/E3PSE62Y"],"itemData":{"id":3321,"type":"article-journal","title":"The Biological Valuation Map (BVM): a fi eld-driven survey of land cover and vegetation in the Flemish Region of Belgium","author":[{"family":"De Saeger","given":"Steven"},{"family":"Oosterlynck","given":"Patrik"},{"family":"Paelinckx","given":"Desiré"}],"issued":{"date-parts":[["2017",11,20]]}}}],"schema":"https://github.com/citation-style-language/schema/raw/master/csl-citation.json"} </w:instrText>
      </w:r>
      <w:r w:rsidRPr="00DD1187">
        <w:rPr>
          <w:rFonts w:cstheme="minorHAnsi"/>
          <w:sz w:val="24"/>
          <w:szCs w:val="24"/>
        </w:rPr>
        <w:fldChar w:fldCharType="separate"/>
      </w:r>
      <w:r w:rsidRPr="00DD1187">
        <w:rPr>
          <w:rFonts w:cstheme="minorHAnsi"/>
          <w:sz w:val="24"/>
          <w:szCs w:val="24"/>
        </w:rPr>
        <w:t>(De Saeger et al., 2017)</w:t>
      </w:r>
      <w:r w:rsidRPr="00DD1187">
        <w:rPr>
          <w:rFonts w:cstheme="minorHAnsi"/>
          <w:sz w:val="24"/>
          <w:szCs w:val="24"/>
        </w:rPr>
        <w:fldChar w:fldCharType="end"/>
      </w:r>
      <w:r>
        <w:rPr>
          <w:rFonts w:cstheme="minorHAnsi"/>
          <w:sz w:val="24"/>
          <w:szCs w:val="24"/>
        </w:rPr>
        <w:t>.</w:t>
      </w:r>
      <w:r w:rsidRPr="00DD1187">
        <w:rPr>
          <w:rFonts w:cstheme="minorHAnsi"/>
          <w:sz w:val="24"/>
          <w:szCs w:val="24"/>
        </w:rPr>
        <w:t xml:space="preserve"> </w:t>
      </w:r>
      <w:r>
        <w:rPr>
          <w:rFonts w:cstheme="minorHAnsi"/>
          <w:sz w:val="24"/>
          <w:szCs w:val="24"/>
        </w:rPr>
        <w:t>F</w:t>
      </w:r>
      <w:r w:rsidRPr="00DD1187">
        <w:rPr>
          <w:rFonts w:cstheme="minorHAnsi"/>
          <w:sz w:val="24"/>
          <w:szCs w:val="24"/>
        </w:rPr>
        <w:t>or plots in Germany</w:t>
      </w:r>
      <w:r>
        <w:rPr>
          <w:rFonts w:cstheme="minorHAnsi"/>
          <w:sz w:val="24"/>
          <w:szCs w:val="24"/>
        </w:rPr>
        <w:t>, we used the database</w:t>
      </w:r>
      <w:r w:rsidRPr="00DD1187">
        <w:rPr>
          <w:rFonts w:cstheme="minorHAnsi"/>
          <w:sz w:val="24"/>
          <w:szCs w:val="24"/>
        </w:rPr>
        <w:t xml:space="preserve"> a remote sensing open access platform from the Biodiversity </w:t>
      </w:r>
      <w:proofErr w:type="spellStart"/>
      <w:r w:rsidRPr="00DD1187">
        <w:rPr>
          <w:rFonts w:cstheme="minorHAnsi"/>
          <w:sz w:val="24"/>
          <w:szCs w:val="24"/>
        </w:rPr>
        <w:t>Exploratories</w:t>
      </w:r>
      <w:proofErr w:type="spellEnd"/>
      <w:r w:rsidRPr="00DD1187">
        <w:rPr>
          <w:rFonts w:cstheme="minorHAnsi"/>
          <w:sz w:val="24"/>
          <w:szCs w:val="24"/>
        </w:rPr>
        <w:t xml:space="preserve"> that integrates data collected from drone images, LIDAR</w:t>
      </w:r>
      <w:r>
        <w:rPr>
          <w:rFonts w:cstheme="minorHAnsi"/>
          <w:sz w:val="24"/>
          <w:szCs w:val="24"/>
        </w:rPr>
        <w:t xml:space="preserve"> (light detection and ranging)</w:t>
      </w:r>
      <w:r w:rsidRPr="00DD1187">
        <w:rPr>
          <w:rFonts w:cstheme="minorHAnsi"/>
          <w:sz w:val="24"/>
          <w:szCs w:val="24"/>
        </w:rPr>
        <w:t xml:space="preserve"> and sensors to monitor biodiversity in the experimental plots, updated lastly in 2022</w:t>
      </w:r>
      <w:r>
        <w:rPr>
          <w:rFonts w:cstheme="minorHAnsi"/>
          <w:sz w:val="24"/>
          <w:szCs w:val="24"/>
        </w:rPr>
        <w:t xml:space="preserve"> </w:t>
      </w:r>
      <w:bookmarkStart w:id="2" w:name="_Hlk165796463"/>
      <w:r>
        <w:rPr>
          <w:rFonts w:cstheme="minorHAnsi"/>
          <w:sz w:val="24"/>
          <w:szCs w:val="24"/>
        </w:rPr>
        <w:fldChar w:fldCharType="begin"/>
      </w:r>
      <w:r>
        <w:rPr>
          <w:rFonts w:cstheme="minorHAnsi"/>
          <w:sz w:val="24"/>
          <w:szCs w:val="24"/>
        </w:rPr>
        <w:instrText xml:space="preserve"> ADDIN ZOTERO_ITEM CSL_CITATION {"citationID":"w2RZaQYx","properties":{"formattedCitation":"(Magdon et al., 2023; W\\uc0\\u246{}llauer et al., 2021)","plainCitation":"(Magdon et al., 2023; Wöllauer et al., 2021)","noteIndex":0},"citationItems":[{"id":27,"uris":["http://zotero.org/users/2814850/items/XXF28ZAS"],"itemData":{"id":27,"type":"dataset","publisher":"Biodiversity Exploratories Information System","title":"Landscape elements in the surrounding of all experimental plots (2016-2018)","URL":"https://www.bexis.uni-jena.de","author":[{"family":"Magdon","given":"Paul"},{"family":"Arisoy","given":"Baturalp"},{"family":"Parreño","given":"Maria Alejandra"},{"family":"Bergmann","given":"Joana"},{"family":"Kuppler","given":"Jonas"},{"family":"Hailer","given":"Joerg"},{"family":"Muller","given":"Max"},{"family":"Birkenbach","given":"Markus"},{"family":"Harpering","given":"Philipp"},{"family":"Henning","given":"Tilo"},{"family":"Jung","given":"Kirsten"},{"family":"Printz","given":"Lisa"},{"family":"Göbbel","given":"Martha"},{"family":"Springer","given":"Katja"}],"issued":{"date-parts":[["2023"]]}}},{"id":3320,"uris":["http://zotero.org/users/2814850/items/AKMTT7SZ"],"itemData":{"id":3320,"type":"article-journal","abstract":"Monitoring biodiversity and its change over space and time is a key challenge for ecological research. Utilizing remote sensing data in ecological research has been shown to be a powerful complement to labor-intensive field work to derive area-wide biodiversity indices, which can also capture larger spatiotemporal areas. However, preprocessing different types of remote sensing data for specific studies often requires extensive computational skills as the algorithms for creating final data products are scattered across the literature. Our remote sensing database (RSDB, ) serves as an integrative storage, management and processing solution for several types of remote sensing data. Transparent data processing capabilities for more than 200 biodiversity-related indices are included and can be used to calculate ready-to-use data products for a variety of ecological studies. These data products, for example, leaf area, vertical distribution of biomass and foliage height derived from light detection and ranging (LiDAR) point clouds, are individually calculated for user-specified study areas and can serve as proxies for ecological variables, such as the availability of resources or habitat heterogeneity. The primary RSDB user interface is web browser based on management, exploration, visualization and product processing capabilities. The RSDB stores data in layers that are discoverable by textual metadata and mapping on overview maps. Individual data layers can be explored using interactive maps and 3-D visualizations. We additionally provide a seamless connection of the RSDB's functionality with the R environment through our accompanying R package for scripting and advanced processing tasks. We designed the RSDB to be an easily accessible solution for on-demand processing of comprehensive biodiversity indices. To date, the RSDB has been used and tested in several studies, and we are convinced that it will continue to facilitate biodiversity monitoring via its application to ecological research.","container-title":"Ecography","DOI":"10.1111/ecog.05266","ISSN":"0906-7590","issue":"3","journalAbbreviation":"Ecography","note":"publisher: John Wiley &amp; Sons, Ltd","page":"414-426","title":"RSDB: an easy to deploy open-source web platform for remote sensing raster and point cloud data management, exploration and processing","volume":"44","author":[{"family":"Wöllauer","given":"Stephan"},{"family":"Zeuss","given":"Dirk"},{"family":"Magdon","given":"Paul"},{"family":"Nauss","given":"Thomas"}],"issued":{"date-parts":[["2021",3,1]]}}}],"schema":"https://github.com/citation-style-language/schema/raw/master/csl-citation.json"} </w:instrText>
      </w:r>
      <w:r>
        <w:rPr>
          <w:rFonts w:cstheme="minorHAnsi"/>
          <w:sz w:val="24"/>
          <w:szCs w:val="24"/>
        </w:rPr>
        <w:fldChar w:fldCharType="separate"/>
      </w:r>
      <w:r w:rsidRPr="005F3B66">
        <w:rPr>
          <w:rFonts w:ascii="Calibri" w:hAnsi="Calibri" w:cs="Calibri"/>
          <w:sz w:val="24"/>
          <w:szCs w:val="24"/>
        </w:rPr>
        <w:t>(Magdon et al., 2023; Wöllauer et al., 2021)</w:t>
      </w:r>
      <w:r>
        <w:rPr>
          <w:rFonts w:cstheme="minorHAnsi"/>
          <w:sz w:val="24"/>
          <w:szCs w:val="24"/>
        </w:rPr>
        <w:fldChar w:fldCharType="end"/>
      </w:r>
      <w:bookmarkEnd w:id="2"/>
      <w:r w:rsidRPr="00DD1187">
        <w:rPr>
          <w:rFonts w:cstheme="minorHAnsi"/>
          <w:sz w:val="24"/>
          <w:szCs w:val="24"/>
        </w:rPr>
        <w:t xml:space="preserve">. To quantify the diversity in </w:t>
      </w:r>
      <w:r>
        <w:rPr>
          <w:rFonts w:cstheme="minorHAnsi"/>
          <w:sz w:val="24"/>
          <w:szCs w:val="24"/>
        </w:rPr>
        <w:t>land-use types</w:t>
      </w:r>
      <w:r w:rsidRPr="00DD1187">
        <w:rPr>
          <w:rFonts w:cstheme="minorHAnsi"/>
          <w:sz w:val="24"/>
          <w:szCs w:val="24"/>
        </w:rPr>
        <w:t xml:space="preserve"> around the plot</w:t>
      </w:r>
      <w:r>
        <w:rPr>
          <w:rFonts w:cstheme="minorHAnsi"/>
          <w:sz w:val="24"/>
          <w:szCs w:val="24"/>
        </w:rPr>
        <w:t>s</w:t>
      </w:r>
      <w:r w:rsidRPr="00DD1187">
        <w:rPr>
          <w:rFonts w:cstheme="minorHAnsi"/>
          <w:sz w:val="24"/>
          <w:szCs w:val="24"/>
        </w:rPr>
        <w:t xml:space="preserve"> we extracted the percentage of area that each </w:t>
      </w:r>
      <w:r>
        <w:rPr>
          <w:rFonts w:cstheme="minorHAnsi"/>
          <w:sz w:val="24"/>
          <w:szCs w:val="24"/>
        </w:rPr>
        <w:t>land-use</w:t>
      </w:r>
      <w:r w:rsidRPr="00DD1187">
        <w:rPr>
          <w:rFonts w:cstheme="minorHAnsi"/>
          <w:sz w:val="24"/>
          <w:szCs w:val="24"/>
        </w:rPr>
        <w:t xml:space="preserve"> type occupie</w:t>
      </w:r>
      <w:r>
        <w:rPr>
          <w:rFonts w:cstheme="minorHAnsi"/>
          <w:sz w:val="24"/>
          <w:szCs w:val="24"/>
        </w:rPr>
        <w:t>d</w:t>
      </w:r>
      <w:r w:rsidRPr="00DD1187">
        <w:rPr>
          <w:rFonts w:cstheme="minorHAnsi"/>
          <w:sz w:val="24"/>
          <w:szCs w:val="24"/>
        </w:rPr>
        <w:t xml:space="preserve"> in</w:t>
      </w:r>
      <w:r>
        <w:rPr>
          <w:rFonts w:cstheme="minorHAnsi"/>
          <w:sz w:val="24"/>
          <w:szCs w:val="24"/>
        </w:rPr>
        <w:t xml:space="preserve"> a</w:t>
      </w:r>
      <w:r w:rsidRPr="00DD1187">
        <w:rPr>
          <w:rFonts w:cstheme="minorHAnsi"/>
          <w:sz w:val="24"/>
          <w:szCs w:val="24"/>
        </w:rPr>
        <w:t xml:space="preserve"> 500 m </w:t>
      </w:r>
      <w:r>
        <w:rPr>
          <w:rFonts w:cstheme="minorHAnsi"/>
          <w:sz w:val="24"/>
          <w:szCs w:val="24"/>
        </w:rPr>
        <w:t xml:space="preserve">radius </w:t>
      </w:r>
      <w:r w:rsidRPr="00DD1187">
        <w:rPr>
          <w:rFonts w:cstheme="minorHAnsi"/>
          <w:sz w:val="24"/>
          <w:szCs w:val="24"/>
        </w:rPr>
        <w:t xml:space="preserve">around the </w:t>
      </w:r>
      <w:r>
        <w:rPr>
          <w:rFonts w:cstheme="minorHAnsi"/>
          <w:sz w:val="24"/>
          <w:szCs w:val="24"/>
        </w:rPr>
        <w:t xml:space="preserve">plot </w:t>
      </w:r>
      <w:r w:rsidRPr="00DD1187">
        <w:rPr>
          <w:rFonts w:cstheme="minorHAnsi"/>
          <w:sz w:val="24"/>
          <w:szCs w:val="24"/>
        </w:rPr>
        <w:t>center</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ZOTERO_ITEM CSL_CITATION {"citationID":"UmZFjn0g","properties":{"formattedCitation":"(Parre\\uc0\\u241{}o et al., 2023)","plainCitation":"(Parreño et al., 2023)","noteIndex":0},"citationItems":[{"id":26,"uris":["http://zotero.org/users/2814850/items/EMNR9XKP"],"itemData":{"id":26,"type":"dataset","publisher":"Biodiversity Exploratories Information System","title":"Land classification in an area of 500 m2 around NutriB2 plots based on remote sensing data. Dataset: 31557.","URL":"https://www.bexis.uni-jena.de","author":[{"family":"Parreño","given":"M. A."},{"family":"Koirala","given":"Sumeer"},{"family":"Arisoy","given":"Baturalp"},{"family":"Meeus","given":"Ivan"},{"family":"Piot","given":"Niels"},{"family":"Leonhardt","given":"Sara Diana"}],"issued":{"date-parts":[["2023"]]}}}],"schema":"https://github.com/citation-style-language/schema/raw/master/csl-citation.json"} </w:instrText>
      </w:r>
      <w:r>
        <w:rPr>
          <w:rFonts w:cstheme="minorHAnsi"/>
          <w:sz w:val="24"/>
          <w:szCs w:val="24"/>
        </w:rPr>
        <w:fldChar w:fldCharType="separate"/>
      </w:r>
      <w:r w:rsidRPr="005F3B66">
        <w:rPr>
          <w:rFonts w:ascii="Calibri" w:hAnsi="Calibri" w:cs="Calibri"/>
          <w:sz w:val="24"/>
          <w:szCs w:val="24"/>
        </w:rPr>
        <w:t>(Parreño et al., 2023)</w:t>
      </w:r>
      <w:r>
        <w:rPr>
          <w:rFonts w:cstheme="minorHAnsi"/>
          <w:sz w:val="24"/>
          <w:szCs w:val="24"/>
        </w:rPr>
        <w:fldChar w:fldCharType="end"/>
      </w:r>
      <w:r w:rsidRPr="00DD1187">
        <w:rPr>
          <w:rFonts w:cstheme="minorHAnsi"/>
          <w:sz w:val="24"/>
          <w:szCs w:val="24"/>
        </w:rPr>
        <w:t xml:space="preserve">. </w:t>
      </w:r>
      <w:r>
        <w:rPr>
          <w:rFonts w:cstheme="minorHAnsi"/>
          <w:sz w:val="24"/>
          <w:szCs w:val="24"/>
        </w:rPr>
        <w:t xml:space="preserve">The value of 500 m was selected based on the approximate foraging range of most solitary species, estimated to be 150-600 m </w:t>
      </w:r>
      <w:r>
        <w:rPr>
          <w:rFonts w:cstheme="minorHAnsi"/>
          <w:sz w:val="24"/>
          <w:szCs w:val="24"/>
        </w:rPr>
        <w:fldChar w:fldCharType="begin"/>
      </w:r>
      <w:r>
        <w:rPr>
          <w:rFonts w:cstheme="minorHAnsi"/>
          <w:sz w:val="24"/>
          <w:szCs w:val="24"/>
        </w:rPr>
        <w:instrText xml:space="preserve"> ADDIN ZOTERO_ITEM CSL_CITATION {"citationID":"PfGQWVBe","properties":{"formattedCitation":"(Gathmann &amp; Tscharntke, 2002)","plainCitation":"(Gathmann &amp; Tscharntke, 2002)","noteIndex":0},"citationItems":[{"id":3299,"uris":["http://zotero.org/users/2814850/items/87YC5JF6"],"itemData":{"id":3299,"type":"article-journal","abstract":"Summary 1 Habitat requirements of solitary bees include nesting sites, food resources and nesting material. We used translocation experiments to establish foraging distances and measured foraging t...","container-title":"Journal of Animal Ecology","ISSN":"1365-2656","issue":"5","language":"en","note":"publisher: John Wiley &amp; Sons, Ltd","page":"757-764","source":"besjournals.onlinelibrary.wiley.com","title":"Foraging ranges of solitary bees","volume":"71","author":[{"family":"Gathmann","given":"Achim"},{"family":"Tscharntke","given":"Teja"}],"issued":{"date-parts":[["2002",9,1]]}}}],"schema":"https://github.com/citation-style-language/schema/raw/master/csl-citation.json"} </w:instrText>
      </w:r>
      <w:r>
        <w:rPr>
          <w:rFonts w:cstheme="minorHAnsi"/>
          <w:sz w:val="24"/>
          <w:szCs w:val="24"/>
        </w:rPr>
        <w:fldChar w:fldCharType="separate"/>
      </w:r>
      <w:r w:rsidRPr="0053211C">
        <w:rPr>
          <w:rFonts w:ascii="Calibri" w:hAnsi="Calibri" w:cs="Calibri"/>
          <w:sz w:val="24"/>
        </w:rPr>
        <w:t>(Gathmann &amp; Tscharntke, 2002)</w:t>
      </w:r>
      <w:r>
        <w:rPr>
          <w:rFonts w:cstheme="minorHAnsi"/>
          <w:sz w:val="24"/>
          <w:szCs w:val="24"/>
        </w:rPr>
        <w:fldChar w:fldCharType="end"/>
      </w:r>
      <w:r>
        <w:rPr>
          <w:rFonts w:cstheme="minorHAnsi"/>
          <w:sz w:val="24"/>
          <w:szCs w:val="24"/>
        </w:rPr>
        <w:t xml:space="preserve">. </w:t>
      </w:r>
      <w:r w:rsidRPr="00DD1187">
        <w:rPr>
          <w:rFonts w:cstheme="minorHAnsi"/>
          <w:sz w:val="24"/>
          <w:szCs w:val="24"/>
        </w:rPr>
        <w:t xml:space="preserve">We then calculated a Shannon </w:t>
      </w:r>
      <w:r>
        <w:rPr>
          <w:rFonts w:cstheme="minorHAnsi"/>
          <w:sz w:val="24"/>
          <w:szCs w:val="24"/>
        </w:rPr>
        <w:t>d</w:t>
      </w:r>
      <w:r w:rsidRPr="00DD1187">
        <w:rPr>
          <w:rFonts w:cstheme="minorHAnsi"/>
          <w:sz w:val="24"/>
          <w:szCs w:val="24"/>
        </w:rPr>
        <w:t xml:space="preserve">iversity </w:t>
      </w:r>
      <w:r>
        <w:rPr>
          <w:rFonts w:cstheme="minorHAnsi"/>
          <w:sz w:val="24"/>
          <w:szCs w:val="24"/>
        </w:rPr>
        <w:t>i</w:t>
      </w:r>
      <w:r w:rsidRPr="00DD1187">
        <w:rPr>
          <w:rFonts w:cstheme="minorHAnsi"/>
          <w:sz w:val="24"/>
          <w:szCs w:val="24"/>
        </w:rPr>
        <w:t>ndex per plot (</w:t>
      </w:r>
      <w:r>
        <w:rPr>
          <w:rFonts w:cstheme="minorHAnsi"/>
          <w:sz w:val="24"/>
          <w:szCs w:val="24"/>
        </w:rPr>
        <w:t xml:space="preserve">called </w:t>
      </w:r>
      <w:r w:rsidRPr="00DD1187">
        <w:rPr>
          <w:rFonts w:cstheme="minorHAnsi"/>
          <w:sz w:val="24"/>
          <w:szCs w:val="24"/>
        </w:rPr>
        <w:t xml:space="preserve">SHDI in the literature, LHI in our study), using the proportions of each </w:t>
      </w:r>
      <w:r>
        <w:rPr>
          <w:rFonts w:cstheme="minorHAnsi"/>
          <w:sz w:val="24"/>
          <w:szCs w:val="24"/>
        </w:rPr>
        <w:t>land-use</w:t>
      </w:r>
      <w:r w:rsidRPr="00DD1187">
        <w:rPr>
          <w:rFonts w:cstheme="minorHAnsi"/>
          <w:sz w:val="24"/>
          <w:szCs w:val="24"/>
        </w:rPr>
        <w:t xml:space="preserve"> type, following the formula: </w:t>
      </w:r>
    </w:p>
    <w:p w14:paraId="2659CB3D" w14:textId="77777777" w:rsidR="00FD3697" w:rsidRPr="00DD1187" w:rsidRDefault="00FD3697" w:rsidP="00FD3697">
      <w:pPr>
        <w:autoSpaceDE w:val="0"/>
        <w:autoSpaceDN w:val="0"/>
        <w:adjustRightInd w:val="0"/>
        <w:spacing w:after="0" w:line="360" w:lineRule="auto"/>
        <w:jc w:val="center"/>
        <w:rPr>
          <w:rFonts w:cstheme="minorHAnsi"/>
          <w:color w:val="000000"/>
          <w:sz w:val="24"/>
          <w:szCs w:val="24"/>
        </w:rPr>
      </w:pPr>
      <m:oMathPara>
        <m:oMath>
          <m:r>
            <w:rPr>
              <w:rFonts w:ascii="Cambria Math" w:hAnsi="Cambria Math" w:cstheme="minorHAnsi"/>
              <w:color w:val="000000"/>
              <w:sz w:val="24"/>
              <w:szCs w:val="24"/>
            </w:rPr>
            <m:t>LHI=</m:t>
          </m:r>
          <m:nary>
            <m:naryPr>
              <m:chr m:val="∑"/>
              <m:grow m:val="1"/>
              <m:ctrlPr>
                <w:rPr>
                  <w:rFonts w:ascii="Cambria Math" w:hAnsi="Cambria Math" w:cstheme="minorHAnsi"/>
                  <w:color w:val="000000"/>
                  <w:sz w:val="24"/>
                  <w:szCs w:val="24"/>
                </w:rPr>
              </m:ctrlPr>
            </m:naryPr>
            <m:sub>
              <m:r>
                <w:rPr>
                  <w:rFonts w:ascii="Cambria Math" w:hAnsi="Cambria Math" w:cstheme="minorHAnsi"/>
                  <w:color w:val="000000"/>
                  <w:sz w:val="24"/>
                  <w:szCs w:val="24"/>
                </w:rPr>
                <m:t>i =1</m:t>
              </m:r>
            </m:sub>
            <m:sup>
              <m:r>
                <w:rPr>
                  <w:rFonts w:ascii="Cambria Math" w:hAnsi="Cambria Math" w:cstheme="minorHAnsi"/>
                  <w:color w:val="000000"/>
                  <w:sz w:val="24"/>
                  <w:szCs w:val="24"/>
                </w:rPr>
                <m:t>m</m:t>
              </m:r>
            </m:sup>
            <m:e>
              <m:d>
                <m:dPr>
                  <m:ctrlPr>
                    <w:rPr>
                      <w:rFonts w:ascii="Cambria Math" w:hAnsi="Cambria Math" w:cstheme="minorHAnsi"/>
                      <w:color w:val="000000"/>
                      <w:sz w:val="24"/>
                      <w:szCs w:val="24"/>
                    </w:rPr>
                  </m:ctrlPr>
                </m:dPr>
                <m:e>
                  <m:sSub>
                    <m:sSubPr>
                      <m:ctrlPr>
                        <w:rPr>
                          <w:rFonts w:ascii="Cambria Math" w:hAnsi="Cambria Math" w:cstheme="minorHAnsi"/>
                          <w:color w:val="000000"/>
                          <w:sz w:val="24"/>
                          <w:szCs w:val="24"/>
                        </w:rPr>
                      </m:ctrlPr>
                    </m:sSubPr>
                    <m:e>
                      <m:r>
                        <w:rPr>
                          <w:rFonts w:ascii="Cambria Math" w:eastAsia="Cambria Math" w:hAnsi="Cambria Math" w:cstheme="minorHAnsi"/>
                          <w:color w:val="000000"/>
                          <w:sz w:val="24"/>
                          <w:szCs w:val="24"/>
                        </w:rPr>
                        <m:t>P</m:t>
                      </m:r>
                    </m:e>
                    <m:sub>
                      <m:r>
                        <w:rPr>
                          <w:rFonts w:ascii="Cambria Math" w:eastAsia="Cambria Math" w:hAnsi="Cambria Math" w:cstheme="minorHAnsi"/>
                          <w:color w:val="000000"/>
                          <w:sz w:val="24"/>
                          <w:szCs w:val="24"/>
                        </w:rPr>
                        <m:t>i</m:t>
                      </m:r>
                    </m:sub>
                  </m:sSub>
                  <m:func>
                    <m:funcPr>
                      <m:ctrlPr>
                        <w:rPr>
                          <w:rFonts w:ascii="Cambria Math" w:hAnsi="Cambria Math" w:cstheme="minorHAnsi"/>
                          <w:i/>
                          <w:color w:val="000000"/>
                          <w:sz w:val="24"/>
                          <w:szCs w:val="24"/>
                        </w:rPr>
                      </m:ctrlPr>
                    </m:funcPr>
                    <m:fName>
                      <m:r>
                        <m:rPr>
                          <m:sty m:val="p"/>
                        </m:rPr>
                        <w:rPr>
                          <w:rFonts w:ascii="Cambria Math" w:hAnsi="Cambria Math" w:cstheme="minorHAnsi"/>
                          <w:color w:val="000000"/>
                          <w:sz w:val="24"/>
                          <w:szCs w:val="24"/>
                        </w:rPr>
                        <m:t>log</m:t>
                      </m:r>
                    </m:fName>
                    <m:e>
                      <m:sSub>
                        <m:sSubPr>
                          <m:ctrlPr>
                            <w:rPr>
                              <w:rFonts w:ascii="Cambria Math" w:hAnsi="Cambria Math" w:cstheme="minorHAnsi"/>
                              <w:color w:val="000000"/>
                              <w:sz w:val="24"/>
                              <w:szCs w:val="24"/>
                            </w:rPr>
                          </m:ctrlPr>
                        </m:sSubPr>
                        <m:e>
                          <m:r>
                            <w:rPr>
                              <w:rFonts w:ascii="Cambria Math" w:eastAsia="Cambria Math" w:hAnsi="Cambria Math" w:cstheme="minorHAnsi"/>
                              <w:color w:val="000000"/>
                              <w:sz w:val="24"/>
                              <w:szCs w:val="24"/>
                            </w:rPr>
                            <m:t>P</m:t>
                          </m:r>
                        </m:e>
                        <m:sub>
                          <m:r>
                            <w:rPr>
                              <w:rFonts w:ascii="Cambria Math" w:eastAsia="Cambria Math" w:hAnsi="Cambria Math" w:cstheme="minorHAnsi"/>
                              <w:color w:val="000000"/>
                              <w:sz w:val="24"/>
                              <w:szCs w:val="24"/>
                            </w:rPr>
                            <m:t>i</m:t>
                          </m:r>
                        </m:sub>
                      </m:sSub>
                    </m:e>
                  </m:func>
                </m:e>
              </m:d>
            </m:e>
          </m:nary>
          <m:r>
            <w:rPr>
              <w:rFonts w:ascii="Cambria Math" w:hAnsi="Cambria Math" w:cstheme="minorHAnsi"/>
              <w:color w:val="000000"/>
              <w:sz w:val="24"/>
              <w:szCs w:val="24"/>
            </w:rPr>
            <m:t xml:space="preserve">  </m:t>
          </m:r>
        </m:oMath>
      </m:oMathPara>
    </w:p>
    <w:p w14:paraId="5DD6ABFD" w14:textId="77777777" w:rsidR="00FD3697" w:rsidRPr="00DD1187" w:rsidRDefault="00FD3697" w:rsidP="00FD3697">
      <w:pPr>
        <w:spacing w:line="360" w:lineRule="auto"/>
        <w:rPr>
          <w:rFonts w:cstheme="minorHAnsi"/>
          <w:color w:val="000000" w:themeColor="text1"/>
          <w:sz w:val="24"/>
          <w:szCs w:val="24"/>
        </w:rPr>
      </w:pPr>
      <w:r w:rsidRPr="00DD1187">
        <w:rPr>
          <w:rFonts w:cstheme="minorHAnsi"/>
          <w:color w:val="000000" w:themeColor="text1"/>
          <w:sz w:val="24"/>
          <w:szCs w:val="24"/>
        </w:rPr>
        <w:t xml:space="preserve">where Pi = proportion of the landscape occupied by patch land cover type (class) </w:t>
      </w:r>
      <w:proofErr w:type="spellStart"/>
      <w:r w:rsidRPr="00DD1187">
        <w:rPr>
          <w:rFonts w:cstheme="minorHAnsi"/>
          <w:color w:val="000000" w:themeColor="text1"/>
          <w:sz w:val="24"/>
          <w:szCs w:val="24"/>
        </w:rPr>
        <w:t>i</w:t>
      </w:r>
      <w:proofErr w:type="spellEnd"/>
    </w:p>
    <w:p w14:paraId="11256D0D" w14:textId="1636A7D2" w:rsidR="00FD3697" w:rsidRPr="00A22BCC" w:rsidRDefault="00FD3697" w:rsidP="00A22BCC">
      <w:pPr>
        <w:shd w:val="clear" w:color="auto" w:fill="FFFFFF"/>
        <w:spacing w:after="0" w:line="360" w:lineRule="auto"/>
        <w:jc w:val="both"/>
        <w:textAlignment w:val="baseline"/>
        <w:rPr>
          <w:rFonts w:cstheme="minorHAnsi"/>
          <w:sz w:val="24"/>
          <w:szCs w:val="24"/>
        </w:rPr>
      </w:pPr>
      <w:r>
        <w:rPr>
          <w:rFonts w:cstheme="minorHAnsi"/>
          <w:color w:val="000000" w:themeColor="text1"/>
          <w:sz w:val="24"/>
          <w:szCs w:val="24"/>
          <w:shd w:val="clear" w:color="auto" w:fill="FFFFFF"/>
        </w:rPr>
        <w:t>LHI</w:t>
      </w:r>
      <w:r w:rsidRPr="00DD1187">
        <w:rPr>
          <w:rFonts w:cstheme="minorHAnsi"/>
          <w:color w:val="000000" w:themeColor="text1"/>
          <w:sz w:val="24"/>
          <w:szCs w:val="24"/>
          <w:shd w:val="clear" w:color="auto" w:fill="FFFFFF"/>
        </w:rPr>
        <w:t xml:space="preserve"> is</w:t>
      </w:r>
      <w:r>
        <w:rPr>
          <w:rFonts w:cstheme="minorHAnsi"/>
          <w:color w:val="000000" w:themeColor="text1"/>
          <w:sz w:val="24"/>
          <w:szCs w:val="24"/>
          <w:shd w:val="clear" w:color="auto" w:fill="FFFFFF"/>
        </w:rPr>
        <w:t xml:space="preserve"> a</w:t>
      </w:r>
      <w:r w:rsidRPr="00DD1187">
        <w:rPr>
          <w:rFonts w:cstheme="minorHAnsi"/>
          <w:color w:val="000000" w:themeColor="text1"/>
          <w:sz w:val="24"/>
          <w:szCs w:val="24"/>
          <w:shd w:val="clear" w:color="auto" w:fill="FFFFFF"/>
        </w:rPr>
        <w:t xml:space="preserve"> landscape metric widely used in biodiversity science that takes both the number of classes and the abundance of each class into account </w:t>
      </w:r>
      <w:r w:rsidRPr="00DD1187">
        <w:rPr>
          <w:rFonts w:cstheme="minorHAnsi"/>
          <w:color w:val="000000" w:themeColor="text1"/>
          <w:sz w:val="24"/>
          <w:szCs w:val="24"/>
          <w:shd w:val="clear" w:color="auto" w:fill="FFFFFF"/>
        </w:rPr>
        <w:fldChar w:fldCharType="begin"/>
      </w:r>
      <w:r>
        <w:rPr>
          <w:rFonts w:cstheme="minorHAnsi"/>
          <w:color w:val="000000" w:themeColor="text1"/>
          <w:sz w:val="24"/>
          <w:szCs w:val="24"/>
          <w:shd w:val="clear" w:color="auto" w:fill="FFFFFF"/>
        </w:rPr>
        <w:instrText xml:space="preserve"> ADDIN ZOTERO_ITEM CSL_CITATION {"citationID":"yZqZsrnR","properties":{"formattedCitation":"(McGarigal &amp; Cushman, 2002)","plainCitation":"(McGarigal &amp; Cushman, 2002)","noteIndex":0},"citationItems":[{"id":3318,"uris":["http://zotero.org/users/2814850/items/WG2RUBD4"],"itemData":{"id":3318,"type":"article-journal","abstract":"Ecologists have used a variety of comparative mensurative and manipulative experimental approaches to study the biological consequences of habitat fragmentation. In this paper, we evaluate the merits of the two major approaches and offer guidelines for selecting a design. Manipulative experiments rigorously assess fragmentation effects by comparing pre- and post-treatment conditions. Yet they are often constrained by a number of practical limitations, such as the difficulty in implementing large-scale treatments and the impracticality of measuring the long-term (decades to centuries) responses to the imposed treatments. Comparative mensurative studies generally involve substituting space for time, and without pre-treatment control, can be constrained by variability in ecological characteristics among different landscapes. These confounding effects can seriously limit the strength of inferences. Depending on the scale of the study system and how ?landscape? is defined, both approaches may be limited by the difficulty of replicating at the landscape scale. Overall, both mensurative and manipulative approaches have merit and can contribute to the body of knowledge on fragmentation. However, from our review of 134 fragmentation studies published recently in three major ecological journals, it is evident that most manipulative and mensurative fragmentation experiments have not provided clear insights into the ecological mechanisms and effects of habitat fragmentation. We discuss the reasons for this and conclude with recommendations for improving the design and implementation of fragmentation experiments.","container-title":"Ecological Applications","DOI":"10.1890/1051-0761(2002)012[0335:CEOEAT]2.0.CO;2","ISSN":"1051-0761","issue":"2","journalAbbreviation":"Ecological Applications","note":"publisher: John Wiley &amp; Sons, Ltd","page":"335-345","title":"Comparative evaluation of experimental approaches to the study of habitat fragmentation effects.","volume":"12","author":[{"family":"McGarigal","given":"Kevin"},{"family":"Cushman","given":"Samuel A."}],"issued":{"date-parts":[["2002",4,1]]}}}],"schema":"https://github.com/citation-style-language/schema/raw/master/csl-citation.json"} </w:instrText>
      </w:r>
      <w:r w:rsidRPr="00DD1187">
        <w:rPr>
          <w:rFonts w:cstheme="minorHAnsi"/>
          <w:color w:val="000000" w:themeColor="text1"/>
          <w:sz w:val="24"/>
          <w:szCs w:val="24"/>
          <w:shd w:val="clear" w:color="auto" w:fill="FFFFFF"/>
        </w:rPr>
        <w:fldChar w:fldCharType="separate"/>
      </w:r>
      <w:r w:rsidRPr="00DD1187">
        <w:rPr>
          <w:rFonts w:cstheme="minorHAnsi"/>
          <w:color w:val="000000" w:themeColor="text1"/>
          <w:sz w:val="24"/>
          <w:szCs w:val="24"/>
        </w:rPr>
        <w:t>(McGarigal &amp; Cushman, 2002)</w:t>
      </w:r>
      <w:r w:rsidRPr="00DD1187">
        <w:rPr>
          <w:rFonts w:cstheme="minorHAnsi"/>
          <w:color w:val="000000" w:themeColor="text1"/>
          <w:sz w:val="24"/>
          <w:szCs w:val="24"/>
          <w:shd w:val="clear" w:color="auto" w:fill="FFFFFF"/>
        </w:rPr>
        <w:fldChar w:fldCharType="end"/>
      </w:r>
      <w:r w:rsidRPr="00DD1187">
        <w:rPr>
          <w:rFonts w:cstheme="minorHAnsi"/>
          <w:color w:val="000000" w:themeColor="text1"/>
          <w:sz w:val="24"/>
          <w:szCs w:val="24"/>
          <w:shd w:val="clear" w:color="auto" w:fill="FFFFFF"/>
        </w:rPr>
        <w:t>. All analyses were carried</w:t>
      </w:r>
      <w:r>
        <w:rPr>
          <w:rFonts w:cstheme="minorHAnsi"/>
          <w:color w:val="000000" w:themeColor="text1"/>
          <w:sz w:val="24"/>
          <w:szCs w:val="24"/>
          <w:shd w:val="clear" w:color="auto" w:fill="FFFFFF"/>
        </w:rPr>
        <w:t xml:space="preserve"> out</w:t>
      </w:r>
      <w:r w:rsidRPr="00DD1187">
        <w:rPr>
          <w:rFonts w:cstheme="minorHAnsi"/>
          <w:color w:val="000000" w:themeColor="text1"/>
          <w:sz w:val="24"/>
          <w:szCs w:val="24"/>
          <w:shd w:val="clear" w:color="auto" w:fill="FFFFFF"/>
        </w:rPr>
        <w:t xml:space="preserve"> in ArcGIS Software and Python</w:t>
      </w:r>
      <w:r>
        <w:rPr>
          <w:rFonts w:cstheme="minorHAnsi"/>
          <w:sz w:val="24"/>
          <w:szCs w:val="24"/>
        </w:rPr>
        <w:t xml:space="preserve">. </w:t>
      </w:r>
      <w:r w:rsidRPr="00735B3D">
        <w:rPr>
          <w:rFonts w:cstheme="minorHAnsi"/>
          <w:sz w:val="24"/>
          <w:szCs w:val="24"/>
        </w:rPr>
        <w:t>For the plots in Belgium</w:t>
      </w:r>
      <w:r>
        <w:rPr>
          <w:rFonts w:cstheme="minorHAnsi"/>
          <w:sz w:val="24"/>
          <w:szCs w:val="24"/>
        </w:rPr>
        <w:t>,</w:t>
      </w:r>
      <w:r w:rsidRPr="00735B3D">
        <w:rPr>
          <w:rFonts w:cstheme="minorHAnsi"/>
          <w:sz w:val="24"/>
          <w:szCs w:val="24"/>
        </w:rPr>
        <w:t xml:space="preserve"> the land cover dataset encompasses spatial location properties and description as code in an attribute, covering the entire country. The data was projected using the Belge lambert 1972 coordinate system, based </w:t>
      </w:r>
      <w:r w:rsidRPr="00735B3D">
        <w:rPr>
          <w:rFonts w:cstheme="minorHAnsi"/>
          <w:sz w:val="24"/>
          <w:szCs w:val="24"/>
        </w:rPr>
        <w:lastRenderedPageBreak/>
        <w:t xml:space="preserve">on the Lambert Conformal conic projection system, and adhering to the D-Belge 1972 datum. Class descriptions </w:t>
      </w:r>
      <w:r>
        <w:rPr>
          <w:rFonts w:cstheme="minorHAnsi"/>
          <w:sz w:val="24"/>
          <w:szCs w:val="24"/>
        </w:rPr>
        <w:t>we</w:t>
      </w:r>
      <w:r w:rsidRPr="00735B3D">
        <w:rPr>
          <w:rFonts w:cstheme="minorHAnsi"/>
          <w:sz w:val="24"/>
          <w:szCs w:val="24"/>
        </w:rPr>
        <w:t xml:space="preserve">re provided in separate fields labeled from EENH1 to EENH7, which were consolidated into a single field to generate final description codes. </w:t>
      </w:r>
      <w:r w:rsidR="00A22BCC">
        <w:rPr>
          <w:rFonts w:cstheme="minorHAnsi"/>
          <w:sz w:val="24"/>
          <w:szCs w:val="24"/>
        </w:rPr>
        <w:t xml:space="preserve"> </w:t>
      </w:r>
      <w:r w:rsidRPr="00735B3D">
        <w:rPr>
          <w:rFonts w:cstheme="minorHAnsi"/>
          <w:sz w:val="24"/>
          <w:szCs w:val="24"/>
        </w:rPr>
        <w:t>For the plots in Germany, we used the RSBD database in which the data were projected in the ETRS 1989 UTM Zone 32N coordinate system using the Transverse Mercator projection. The GCS ETRS 1989 datum was prescribed for the data. The land cover data in Germany were classified into two schemes (geometric property and attribute property). The attribute property contained unique plot numbers and corresponding class descriptions, while three fields in the data represented feature descriptions using code numbers.</w:t>
      </w:r>
      <w:r w:rsidR="00A22BCC">
        <w:rPr>
          <w:rFonts w:cstheme="minorHAnsi"/>
          <w:sz w:val="24"/>
          <w:szCs w:val="24"/>
        </w:rPr>
        <w:t xml:space="preserve"> </w:t>
      </w:r>
      <w:r w:rsidRPr="00642F16">
        <w:rPr>
          <w:sz w:val="24"/>
          <w:szCs w:val="24"/>
        </w:rPr>
        <w:t>Programming scripts in Python used to extract the areas of lands use and calculate the land</w:t>
      </w:r>
      <w:r>
        <w:rPr>
          <w:sz w:val="24"/>
          <w:szCs w:val="24"/>
        </w:rPr>
        <w:t>scape</w:t>
      </w:r>
      <w:r w:rsidRPr="00642F16">
        <w:rPr>
          <w:sz w:val="24"/>
          <w:szCs w:val="24"/>
        </w:rPr>
        <w:t xml:space="preserve"> heterogeneity index can be found on </w:t>
      </w:r>
      <w:proofErr w:type="spellStart"/>
      <w:r w:rsidRPr="00642F16">
        <w:rPr>
          <w:sz w:val="24"/>
          <w:szCs w:val="24"/>
        </w:rPr>
        <w:t>Github</w:t>
      </w:r>
      <w:proofErr w:type="spellEnd"/>
      <w:r w:rsidRPr="00642F16">
        <w:rPr>
          <w:sz w:val="24"/>
          <w:szCs w:val="24"/>
        </w:rPr>
        <w:t xml:space="preserve"> </w:t>
      </w:r>
      <w:r>
        <w:rPr>
          <w:sz w:val="24"/>
          <w:szCs w:val="24"/>
        </w:rPr>
        <w:fldChar w:fldCharType="begin"/>
      </w:r>
      <w:r>
        <w:rPr>
          <w:sz w:val="24"/>
          <w:szCs w:val="24"/>
        </w:rPr>
        <w:instrText xml:space="preserve"> ADDIN ZOTERO_ITEM CSL_CITATION {"citationID":"DGgbxupp","properties":{"formattedCitation":"(Sumeers, 2023/2023)","plainCitation":"(Sumeers, 2023/2023)","noteIndex":0},"citationItems":[{"id":3278,"uris":["http://zotero.org/users/2814850/items/6AUJX4AC"],"itemData":{"id":3278,"type":"software","event-place":"Germany","genre":"Python","note":"original-date: 2023-07-25T21:18:10Z","publisher-place":"Germany","source":"GitHub","title":"Land use land cover (Belgium and Germany)","URL":"https://github.com/Sumeers/sumeer","author":[{"family":"Sumeers","given":""}],"accessed":{"date-parts":[["2023",8,20]]},"issued":{"date-parts":[["2023",7,25]]}}}],"schema":"https://github.com/citation-style-language/schema/raw/master/csl-citation.json"} </w:instrText>
      </w:r>
      <w:r>
        <w:rPr>
          <w:sz w:val="24"/>
          <w:szCs w:val="24"/>
        </w:rPr>
        <w:fldChar w:fldCharType="separate"/>
      </w:r>
      <w:r w:rsidRPr="00FD3697">
        <w:rPr>
          <w:rFonts w:ascii="Calibri" w:hAnsi="Calibri" w:cs="Calibri"/>
          <w:sz w:val="24"/>
        </w:rPr>
        <w:t>(Sumeers, 2023/2023)</w:t>
      </w:r>
      <w:r>
        <w:rPr>
          <w:sz w:val="24"/>
          <w:szCs w:val="24"/>
        </w:rPr>
        <w:fldChar w:fldCharType="end"/>
      </w:r>
    </w:p>
    <w:p w14:paraId="1C52E502" w14:textId="77777777" w:rsidR="00FD3697" w:rsidRPr="00DD1187" w:rsidRDefault="00FD3697" w:rsidP="00FD3697">
      <w:pPr>
        <w:shd w:val="clear" w:color="auto" w:fill="FFFFFF"/>
        <w:spacing w:after="0" w:line="360" w:lineRule="auto"/>
        <w:jc w:val="both"/>
        <w:textAlignment w:val="baseline"/>
        <w:rPr>
          <w:rFonts w:cstheme="minorHAnsi"/>
          <w:sz w:val="24"/>
          <w:szCs w:val="24"/>
        </w:rPr>
      </w:pPr>
    </w:p>
    <w:p w14:paraId="78944C41" w14:textId="49D0E021" w:rsidR="005A6202" w:rsidRPr="00CF4C2B" w:rsidRDefault="00A22BCC" w:rsidP="00A22BCC">
      <w:pPr>
        <w:pStyle w:val="Heading3"/>
        <w:rPr>
          <w:color w:val="auto"/>
        </w:rPr>
      </w:pPr>
      <w:r w:rsidRPr="00CF4C2B">
        <w:rPr>
          <w:color w:val="auto"/>
        </w:rPr>
        <w:t xml:space="preserve">Information on trait database for </w:t>
      </w:r>
      <w:proofErr w:type="spellStart"/>
      <w:r w:rsidR="003E0F10" w:rsidRPr="00CF4C2B">
        <w:rPr>
          <w:color w:val="auto"/>
        </w:rPr>
        <w:t>Intertegular</w:t>
      </w:r>
      <w:proofErr w:type="spellEnd"/>
      <w:r w:rsidR="003E0F10" w:rsidRPr="00CF4C2B">
        <w:rPr>
          <w:color w:val="auto"/>
        </w:rPr>
        <w:t xml:space="preserve"> distance, female bee size and foraging range</w:t>
      </w:r>
    </w:p>
    <w:p w14:paraId="61F99518" w14:textId="77777777" w:rsidR="00A22BCC" w:rsidRPr="00A22BCC" w:rsidRDefault="00A22BCC" w:rsidP="00A22BCC"/>
    <w:p w14:paraId="2E4DA128" w14:textId="70A57DC7" w:rsidR="005A6202" w:rsidRDefault="00A22BCC" w:rsidP="00A22BCC">
      <w:pPr>
        <w:spacing w:line="360" w:lineRule="auto"/>
        <w:jc w:val="both"/>
        <w:rPr>
          <w:sz w:val="24"/>
          <w:szCs w:val="24"/>
        </w:rPr>
      </w:pPr>
      <w:r w:rsidRPr="00A22BCC">
        <w:rPr>
          <w:sz w:val="24"/>
          <w:szCs w:val="24"/>
        </w:rPr>
        <w:t xml:space="preserve">The trait database was constructed as part of the EU FP6 project ALARM (2004-2009), and developed further under the FP7 </w:t>
      </w:r>
      <w:proofErr w:type="spellStart"/>
      <w:r w:rsidRPr="00A22BCC">
        <w:rPr>
          <w:sz w:val="24"/>
          <w:szCs w:val="24"/>
        </w:rPr>
        <w:t>programme</w:t>
      </w:r>
      <w:proofErr w:type="spellEnd"/>
      <w:r w:rsidRPr="00A22BCC">
        <w:rPr>
          <w:sz w:val="24"/>
          <w:szCs w:val="24"/>
        </w:rPr>
        <w:t xml:space="preserve"> STEP (2010-2015). Since 2014 all development and maintenance has been done independently by the author (SR). Data has been gathered from published peer reviewed papers and books, from the grey literature and from personal communication from a host of observers. Data sources include taxonomic revisionary and descriptive texts, treatments of national </w:t>
      </w:r>
      <w:proofErr w:type="spellStart"/>
      <w:r w:rsidRPr="00A22BCC">
        <w:rPr>
          <w:sz w:val="24"/>
          <w:szCs w:val="24"/>
        </w:rPr>
        <w:t>apifaunas</w:t>
      </w:r>
      <w:proofErr w:type="spellEnd"/>
      <w:r w:rsidRPr="00A22BCC">
        <w:rPr>
          <w:sz w:val="24"/>
          <w:szCs w:val="24"/>
        </w:rPr>
        <w:t xml:space="preserve"> and other </w:t>
      </w:r>
      <w:proofErr w:type="spellStart"/>
      <w:r w:rsidRPr="00A22BCC">
        <w:rPr>
          <w:sz w:val="24"/>
          <w:szCs w:val="24"/>
        </w:rPr>
        <w:t>faunistic</w:t>
      </w:r>
      <w:proofErr w:type="spellEnd"/>
      <w:r w:rsidRPr="00A22BCC">
        <w:rPr>
          <w:sz w:val="24"/>
          <w:szCs w:val="24"/>
        </w:rPr>
        <w:t xml:space="preserve"> studies, red lists, short notes, the pollination and diversity literature along with verifiable postings on various social media outlets.</w:t>
      </w:r>
      <w:r>
        <w:rPr>
          <w:sz w:val="24"/>
          <w:szCs w:val="24"/>
        </w:rPr>
        <w:t xml:space="preserve"> </w:t>
      </w:r>
      <w:r w:rsidRPr="00A22BCC">
        <w:rPr>
          <w:sz w:val="24"/>
          <w:szCs w:val="24"/>
        </w:rPr>
        <w:t xml:space="preserve">In addition to this, measurements of Inter-tegular distance (ITD) have been provided by over 60 scientists and private individuals based on material in museums and other academic institutions and personal collections. </w:t>
      </w:r>
      <w:r>
        <w:rPr>
          <w:sz w:val="24"/>
          <w:szCs w:val="24"/>
        </w:rPr>
        <w:t>The literature set is absolutely large and cannot be cited in the current paper.</w:t>
      </w:r>
      <w:r w:rsidRPr="00A22BCC">
        <w:rPr>
          <w:sz w:val="24"/>
          <w:szCs w:val="24"/>
        </w:rPr>
        <w:t xml:space="preserve"> </w:t>
      </w:r>
      <w:r>
        <w:rPr>
          <w:sz w:val="24"/>
          <w:szCs w:val="24"/>
        </w:rPr>
        <w:t>However</w:t>
      </w:r>
      <w:r w:rsidR="003D5084">
        <w:rPr>
          <w:sz w:val="24"/>
          <w:szCs w:val="24"/>
        </w:rPr>
        <w:t>,</w:t>
      </w:r>
      <w:r>
        <w:rPr>
          <w:sz w:val="24"/>
          <w:szCs w:val="24"/>
        </w:rPr>
        <w:t xml:space="preserve"> t</w:t>
      </w:r>
      <w:r w:rsidRPr="00A22BCC">
        <w:rPr>
          <w:sz w:val="24"/>
          <w:szCs w:val="24"/>
        </w:rPr>
        <w:t>he database is in an advanced state of preparation for publication on a publicly available website (publication due Autumn 2024).</w:t>
      </w:r>
    </w:p>
    <w:p w14:paraId="3318B6AA" w14:textId="1026E11F" w:rsidR="003D5084" w:rsidRPr="00CF4C2B" w:rsidRDefault="003D5084" w:rsidP="003D5084">
      <w:pPr>
        <w:pStyle w:val="Heading3"/>
        <w:rPr>
          <w:color w:val="auto"/>
        </w:rPr>
      </w:pPr>
      <w:r w:rsidRPr="00CF4C2B">
        <w:rPr>
          <w:color w:val="auto"/>
        </w:rPr>
        <w:t>References Supplementary material</w:t>
      </w:r>
    </w:p>
    <w:p w14:paraId="5F07587D" w14:textId="67FB9DCD" w:rsidR="00F16B50" w:rsidRPr="00F16B50" w:rsidRDefault="00F16B50" w:rsidP="00F16B50">
      <w:pPr>
        <w:pStyle w:val="Bibliography"/>
        <w:rPr>
          <w:rFonts w:ascii="Calibri" w:hAnsi="Calibri" w:cs="Calibri"/>
        </w:rPr>
      </w:pPr>
      <w:proofErr w:type="spellStart"/>
      <w:r w:rsidRPr="00F16B50">
        <w:rPr>
          <w:rFonts w:ascii="Calibri" w:hAnsi="Calibri" w:cs="Calibri"/>
        </w:rPr>
        <w:t>Blüthgen</w:t>
      </w:r>
      <w:proofErr w:type="spellEnd"/>
      <w:r w:rsidRPr="00F16B50">
        <w:rPr>
          <w:rFonts w:ascii="Calibri" w:hAnsi="Calibri" w:cs="Calibri"/>
        </w:rPr>
        <w:t xml:space="preserve">, N., Dormann, C. F., Prati, D., Klaus, V. H., Kleinebecker, T., Hölzel, N., Alt, F., Boch, S., Gockel, S., Hemp, A., Müller, J., Nieschulze, J., Renner, S. C., Schöning, I., Schumacher, U., Socher, S. A., </w:t>
      </w:r>
      <w:r w:rsidRPr="00F16B50">
        <w:rPr>
          <w:rFonts w:ascii="Calibri" w:hAnsi="Calibri" w:cs="Calibri"/>
        </w:rPr>
        <w:lastRenderedPageBreak/>
        <w:t xml:space="preserve">Wells, K., Birkhofer, K., Buscot, F., … Weisser, W. W. (2012). A quantitative index of land-use intensity in grasslands: Integrating mowing, grazing and fertilization. </w:t>
      </w:r>
      <w:r w:rsidRPr="00F16B50">
        <w:rPr>
          <w:rFonts w:ascii="Calibri" w:hAnsi="Calibri" w:cs="Calibri"/>
          <w:i/>
          <w:iCs/>
        </w:rPr>
        <w:t>Basic and Applied Ecology</w:t>
      </w:r>
      <w:r w:rsidRPr="00F16B50">
        <w:rPr>
          <w:rFonts w:ascii="Calibri" w:hAnsi="Calibri" w:cs="Calibri"/>
        </w:rPr>
        <w:t xml:space="preserve">, </w:t>
      </w:r>
      <w:r w:rsidRPr="00F16B50">
        <w:rPr>
          <w:rFonts w:ascii="Calibri" w:hAnsi="Calibri" w:cs="Calibri"/>
          <w:i/>
          <w:iCs/>
        </w:rPr>
        <w:t>13</w:t>
      </w:r>
      <w:r w:rsidRPr="00F16B50">
        <w:rPr>
          <w:rFonts w:ascii="Calibri" w:hAnsi="Calibri" w:cs="Calibri"/>
        </w:rPr>
        <w:t>(3), 207–220. https://doi.org/10.1016/j.baae.2012.04.001</w:t>
      </w:r>
    </w:p>
    <w:p w14:paraId="37DA8D40" w14:textId="77777777" w:rsidR="00F16B50" w:rsidRPr="00F16B50" w:rsidRDefault="00F16B50" w:rsidP="00F16B50">
      <w:pPr>
        <w:pStyle w:val="Bibliography"/>
        <w:rPr>
          <w:rFonts w:ascii="Calibri" w:hAnsi="Calibri" w:cs="Calibri"/>
        </w:rPr>
      </w:pPr>
      <w:r w:rsidRPr="00F16B50">
        <w:rPr>
          <w:rFonts w:ascii="Calibri" w:hAnsi="Calibri" w:cs="Calibri"/>
        </w:rPr>
        <w:t xml:space="preserve">Chao, A., Gotelli, N. J., Hsieh, T. C., Sander, E. L., Ma, K. H., Colwell, R. K., &amp; Ellison, A. M. (2014). Rarefaction and extrapolation with Hill numbers: A framework for sampling and estimation in species diversity studies. </w:t>
      </w:r>
      <w:r w:rsidRPr="00F16B50">
        <w:rPr>
          <w:rFonts w:ascii="Calibri" w:hAnsi="Calibri" w:cs="Calibri"/>
          <w:i/>
          <w:iCs/>
        </w:rPr>
        <w:t>Ecological Monographs</w:t>
      </w:r>
      <w:r w:rsidRPr="00F16B50">
        <w:rPr>
          <w:rFonts w:ascii="Calibri" w:hAnsi="Calibri" w:cs="Calibri"/>
        </w:rPr>
        <w:t xml:space="preserve">, </w:t>
      </w:r>
      <w:r w:rsidRPr="00F16B50">
        <w:rPr>
          <w:rFonts w:ascii="Calibri" w:hAnsi="Calibri" w:cs="Calibri"/>
          <w:i/>
          <w:iCs/>
        </w:rPr>
        <w:t>84</w:t>
      </w:r>
      <w:r w:rsidRPr="00F16B50">
        <w:rPr>
          <w:rFonts w:ascii="Calibri" w:hAnsi="Calibri" w:cs="Calibri"/>
        </w:rPr>
        <w:t>(1), 45–67. https://doi.org/10.1890/13-0133.1</w:t>
      </w:r>
    </w:p>
    <w:p w14:paraId="5669A1EC" w14:textId="77777777" w:rsidR="00F16B50" w:rsidRPr="00F16B50" w:rsidRDefault="00F16B50" w:rsidP="00F16B50">
      <w:pPr>
        <w:pStyle w:val="Bibliography"/>
        <w:rPr>
          <w:rFonts w:ascii="Calibri" w:hAnsi="Calibri" w:cs="Calibri"/>
        </w:rPr>
      </w:pPr>
      <w:r w:rsidRPr="00F16B50">
        <w:rPr>
          <w:rFonts w:ascii="Calibri" w:hAnsi="Calibri" w:cs="Calibri"/>
        </w:rPr>
        <w:t xml:space="preserve">De Saeger, S., Oosterlynck, P., &amp; Paelinckx, D. (2017). </w:t>
      </w:r>
      <w:r w:rsidRPr="00F16B50">
        <w:rPr>
          <w:rFonts w:ascii="Calibri" w:hAnsi="Calibri" w:cs="Calibri"/>
          <w:i/>
          <w:iCs/>
        </w:rPr>
        <w:t>The Biological Valuation Map (BVM): A fi eld-driven survey of land cover and vegetation in the Flemish Region of Belgium</w:t>
      </w:r>
      <w:r w:rsidRPr="00F16B50">
        <w:rPr>
          <w:rFonts w:ascii="Calibri" w:hAnsi="Calibri" w:cs="Calibri"/>
        </w:rPr>
        <w:t>.</w:t>
      </w:r>
    </w:p>
    <w:p w14:paraId="2D75B420" w14:textId="77777777" w:rsidR="00F16B50" w:rsidRPr="00F16B50" w:rsidRDefault="00F16B50" w:rsidP="00F16B50">
      <w:pPr>
        <w:pStyle w:val="Bibliography"/>
        <w:rPr>
          <w:rFonts w:ascii="Calibri" w:hAnsi="Calibri" w:cs="Calibri"/>
        </w:rPr>
      </w:pPr>
      <w:r w:rsidRPr="00F16B50">
        <w:rPr>
          <w:rFonts w:ascii="Calibri" w:hAnsi="Calibri" w:cs="Calibri"/>
        </w:rPr>
        <w:t xml:space="preserve">Edgar, R. C. (2016a). SINTAX: a simple non-Bayesian taxonomy classifier for 16S and ITS sequences. </w:t>
      </w:r>
      <w:r w:rsidRPr="00F16B50">
        <w:rPr>
          <w:rFonts w:ascii="Calibri" w:hAnsi="Calibri" w:cs="Calibri"/>
          <w:i/>
          <w:iCs/>
        </w:rPr>
        <w:t>bioRxiv</w:t>
      </w:r>
      <w:r w:rsidRPr="00F16B50">
        <w:rPr>
          <w:rFonts w:ascii="Calibri" w:hAnsi="Calibri" w:cs="Calibri"/>
        </w:rPr>
        <w:t>, 074161. https://doi.org/10.1101/074161</w:t>
      </w:r>
    </w:p>
    <w:p w14:paraId="178BFDDA" w14:textId="77777777" w:rsidR="00F16B50" w:rsidRPr="00F16B50" w:rsidRDefault="00F16B50" w:rsidP="00F16B50">
      <w:pPr>
        <w:pStyle w:val="Bibliography"/>
        <w:rPr>
          <w:rFonts w:ascii="Calibri" w:hAnsi="Calibri" w:cs="Calibri"/>
        </w:rPr>
      </w:pPr>
      <w:r w:rsidRPr="00F16B50">
        <w:rPr>
          <w:rFonts w:ascii="Calibri" w:hAnsi="Calibri" w:cs="Calibri"/>
        </w:rPr>
        <w:t xml:space="preserve">Edgar, R. C. (2016b). UCHIME2: Improved chimera prediction for amplicon sequencing. </w:t>
      </w:r>
      <w:r w:rsidRPr="00F16B50">
        <w:rPr>
          <w:rFonts w:ascii="Calibri" w:hAnsi="Calibri" w:cs="Calibri"/>
          <w:i/>
          <w:iCs/>
        </w:rPr>
        <w:t>bioRxiv</w:t>
      </w:r>
      <w:r w:rsidRPr="00F16B50">
        <w:rPr>
          <w:rFonts w:ascii="Calibri" w:hAnsi="Calibri" w:cs="Calibri"/>
        </w:rPr>
        <w:t>, 074252. https://doi.org/10.1101/074252</w:t>
      </w:r>
    </w:p>
    <w:p w14:paraId="70965FF2" w14:textId="77777777" w:rsidR="00F16B50" w:rsidRPr="00F16B50" w:rsidRDefault="00F16B50" w:rsidP="00F16B50">
      <w:pPr>
        <w:pStyle w:val="Bibliography"/>
        <w:rPr>
          <w:rFonts w:ascii="Calibri" w:hAnsi="Calibri" w:cs="Calibri"/>
        </w:rPr>
      </w:pPr>
      <w:r w:rsidRPr="00F16B50">
        <w:rPr>
          <w:rFonts w:ascii="Calibri" w:hAnsi="Calibri" w:cs="Calibri"/>
        </w:rPr>
        <w:t xml:space="preserve">Edgar, R. C., &amp; Flyvbjerg, H. (2015). Error filtering, pair assembly and error correction for next-generation sequencing reads. </w:t>
      </w:r>
      <w:r w:rsidRPr="00F16B50">
        <w:rPr>
          <w:rFonts w:ascii="Calibri" w:hAnsi="Calibri" w:cs="Calibri"/>
          <w:i/>
          <w:iCs/>
        </w:rPr>
        <w:t>Bioinformatics</w:t>
      </w:r>
      <w:r w:rsidRPr="00F16B50">
        <w:rPr>
          <w:rFonts w:ascii="Calibri" w:hAnsi="Calibri" w:cs="Calibri"/>
        </w:rPr>
        <w:t xml:space="preserve">, </w:t>
      </w:r>
      <w:r w:rsidRPr="00F16B50">
        <w:rPr>
          <w:rFonts w:ascii="Calibri" w:hAnsi="Calibri" w:cs="Calibri"/>
          <w:i/>
          <w:iCs/>
        </w:rPr>
        <w:t>31</w:t>
      </w:r>
      <w:r w:rsidRPr="00F16B50">
        <w:rPr>
          <w:rFonts w:ascii="Calibri" w:hAnsi="Calibri" w:cs="Calibri"/>
        </w:rPr>
        <w:t>(21), 3476–3482. https://doi.org/10.1093/bioinformatics/btv401</w:t>
      </w:r>
    </w:p>
    <w:p w14:paraId="53EBB941" w14:textId="77777777" w:rsidR="00F16B50" w:rsidRPr="00F16B50" w:rsidRDefault="00F16B50" w:rsidP="00F16B50">
      <w:pPr>
        <w:pStyle w:val="Bibliography"/>
        <w:rPr>
          <w:rFonts w:ascii="Calibri" w:hAnsi="Calibri" w:cs="Calibri"/>
        </w:rPr>
      </w:pPr>
      <w:r w:rsidRPr="00F16B50">
        <w:rPr>
          <w:rFonts w:ascii="Calibri" w:hAnsi="Calibri" w:cs="Calibri"/>
        </w:rPr>
        <w:t xml:space="preserve">Gathmann, A., &amp; Tscharntke, T. (2002). Foraging ranges of solitary bees. </w:t>
      </w:r>
      <w:r w:rsidRPr="00F16B50">
        <w:rPr>
          <w:rFonts w:ascii="Calibri" w:hAnsi="Calibri" w:cs="Calibri"/>
          <w:i/>
          <w:iCs/>
        </w:rPr>
        <w:t>Journal of Animal Ecology</w:t>
      </w:r>
      <w:r w:rsidRPr="00F16B50">
        <w:rPr>
          <w:rFonts w:ascii="Calibri" w:hAnsi="Calibri" w:cs="Calibri"/>
        </w:rPr>
        <w:t xml:space="preserve">, </w:t>
      </w:r>
      <w:r w:rsidRPr="00F16B50">
        <w:rPr>
          <w:rFonts w:ascii="Calibri" w:hAnsi="Calibri" w:cs="Calibri"/>
          <w:i/>
          <w:iCs/>
        </w:rPr>
        <w:t>71</w:t>
      </w:r>
      <w:r w:rsidRPr="00F16B50">
        <w:rPr>
          <w:rFonts w:ascii="Calibri" w:hAnsi="Calibri" w:cs="Calibri"/>
        </w:rPr>
        <w:t>(5), 757–764.</w:t>
      </w:r>
    </w:p>
    <w:p w14:paraId="152ED3A6" w14:textId="77777777" w:rsidR="00F16B50" w:rsidRPr="00F16B50" w:rsidRDefault="00F16B50" w:rsidP="00F16B50">
      <w:pPr>
        <w:pStyle w:val="Bibliography"/>
        <w:rPr>
          <w:rFonts w:ascii="Calibri" w:hAnsi="Calibri" w:cs="Calibri"/>
        </w:rPr>
      </w:pPr>
      <w:r w:rsidRPr="00F16B50">
        <w:rPr>
          <w:rFonts w:ascii="Calibri" w:hAnsi="Calibri" w:cs="Calibri"/>
        </w:rPr>
        <w:t xml:space="preserve">Hinderling, J., Bolliger, R., Kunze, S., Zwahlen, C., Fischer, M., &amp; Pratti, D. (2022, January 19). </w:t>
      </w:r>
      <w:r w:rsidRPr="00F16B50">
        <w:rPr>
          <w:rFonts w:ascii="Calibri" w:hAnsi="Calibri" w:cs="Calibri"/>
          <w:i/>
          <w:iCs/>
        </w:rPr>
        <w:t>Vegetation records for grassland EPs, 2008—2021. Core Botany Team. Biodiversity Exploratories. Dataset number 31175.</w:t>
      </w:r>
      <w:r w:rsidRPr="00F16B50">
        <w:rPr>
          <w:rFonts w:ascii="Calibri" w:hAnsi="Calibri" w:cs="Calibri"/>
        </w:rPr>
        <w:t xml:space="preserve"> https://ror.org/018mejw64</w:t>
      </w:r>
    </w:p>
    <w:p w14:paraId="407A4366" w14:textId="77777777" w:rsidR="00F16B50" w:rsidRPr="00F16B50" w:rsidRDefault="00F16B50" w:rsidP="00F16B50">
      <w:pPr>
        <w:pStyle w:val="Bibliography"/>
        <w:rPr>
          <w:rFonts w:ascii="Calibri" w:hAnsi="Calibri" w:cs="Calibri"/>
        </w:rPr>
      </w:pPr>
      <w:r w:rsidRPr="00F16B50">
        <w:rPr>
          <w:rFonts w:ascii="Calibri" w:hAnsi="Calibri" w:cs="Calibri"/>
        </w:rPr>
        <w:t xml:space="preserve">Keller, A., Hohlfeld, S., Kolter, A., Schultz, J., Gemeinholzer, B., &amp; Ankenbrand, M. J. (2020). BCdatabaser: On-the-fly reference database creation for (meta-)barcoding. </w:t>
      </w:r>
      <w:r w:rsidRPr="00F16B50">
        <w:rPr>
          <w:rFonts w:ascii="Calibri" w:hAnsi="Calibri" w:cs="Calibri"/>
          <w:i/>
          <w:iCs/>
        </w:rPr>
        <w:t>Bioinformatics</w:t>
      </w:r>
      <w:r w:rsidRPr="00F16B50">
        <w:rPr>
          <w:rFonts w:ascii="Calibri" w:hAnsi="Calibri" w:cs="Calibri"/>
        </w:rPr>
        <w:t xml:space="preserve">, </w:t>
      </w:r>
      <w:r w:rsidRPr="00F16B50">
        <w:rPr>
          <w:rFonts w:ascii="Calibri" w:hAnsi="Calibri" w:cs="Calibri"/>
          <w:i/>
          <w:iCs/>
        </w:rPr>
        <w:t>36</w:t>
      </w:r>
      <w:r w:rsidRPr="00F16B50">
        <w:rPr>
          <w:rFonts w:ascii="Calibri" w:hAnsi="Calibri" w:cs="Calibri"/>
        </w:rPr>
        <w:t>(8), 2630–2631. https://doi.org/10.1093/bioinformatics/btz960</w:t>
      </w:r>
    </w:p>
    <w:p w14:paraId="2D786D75" w14:textId="77777777" w:rsidR="00F16B50" w:rsidRPr="00F16B50" w:rsidRDefault="00F16B50" w:rsidP="00F16B50">
      <w:pPr>
        <w:pStyle w:val="Bibliography"/>
        <w:rPr>
          <w:rFonts w:ascii="Calibri" w:hAnsi="Calibri" w:cs="Calibri"/>
        </w:rPr>
      </w:pPr>
      <w:r w:rsidRPr="00F16B50">
        <w:rPr>
          <w:rFonts w:ascii="Calibri" w:hAnsi="Calibri" w:cs="Calibri"/>
        </w:rPr>
        <w:lastRenderedPageBreak/>
        <w:t xml:space="preserve">Magdon, P., Arisoy, B., Parreño, M. A., Bergmann, J., Kuppler, J., Hailer, J., Muller, M., Birkenbach, M., Harpering, P., Henning, T., Jung, K., Printz, L., Göbbel, M., &amp; Springer, K. (2023). </w:t>
      </w:r>
      <w:r w:rsidRPr="00F16B50">
        <w:rPr>
          <w:rFonts w:ascii="Calibri" w:hAnsi="Calibri" w:cs="Calibri"/>
          <w:i/>
          <w:iCs/>
        </w:rPr>
        <w:t>Landscape elements in the surrounding of all experimental plots (2016-2018)</w:t>
      </w:r>
      <w:r w:rsidRPr="00F16B50">
        <w:rPr>
          <w:rFonts w:ascii="Calibri" w:hAnsi="Calibri" w:cs="Calibri"/>
        </w:rPr>
        <w:t xml:space="preserve"> [Dataset]. Biodiversity Exploratories Information System. https://www.bexis.uni-jena.de</w:t>
      </w:r>
    </w:p>
    <w:p w14:paraId="000BED56" w14:textId="77777777" w:rsidR="00F16B50" w:rsidRPr="00F16B50" w:rsidRDefault="00F16B50" w:rsidP="00F16B50">
      <w:pPr>
        <w:pStyle w:val="Bibliography"/>
        <w:rPr>
          <w:rFonts w:ascii="Calibri" w:hAnsi="Calibri" w:cs="Calibri"/>
        </w:rPr>
      </w:pPr>
      <w:r w:rsidRPr="00F16B50">
        <w:rPr>
          <w:rFonts w:ascii="Calibri" w:hAnsi="Calibri" w:cs="Calibri"/>
        </w:rPr>
        <w:t xml:space="preserve">Martins, A. C., Proença, C. E. B., Vasconcelos, T. N. C., Aguiar, A. J. C., Farinasso, H. C., de Lima, A. T. F., Faria, J. E. Q., Norrana, K., Costa, M. B. R., Carvalho, M. M., Dias, R. L., Bustamante, M. M. C., Carvalho, F. A., &amp; Keller, A. (2023). Contrasting patterns of foraging behavior in neotropical stingless bees using pollen and honey metabarcoding. </w:t>
      </w:r>
      <w:r w:rsidRPr="00F16B50">
        <w:rPr>
          <w:rFonts w:ascii="Calibri" w:hAnsi="Calibri" w:cs="Calibri"/>
          <w:i/>
          <w:iCs/>
        </w:rPr>
        <w:t>Scientific Reports</w:t>
      </w:r>
      <w:r w:rsidRPr="00F16B50">
        <w:rPr>
          <w:rFonts w:ascii="Calibri" w:hAnsi="Calibri" w:cs="Calibri"/>
        </w:rPr>
        <w:t xml:space="preserve">, </w:t>
      </w:r>
      <w:r w:rsidRPr="00F16B50">
        <w:rPr>
          <w:rFonts w:ascii="Calibri" w:hAnsi="Calibri" w:cs="Calibri"/>
          <w:i/>
          <w:iCs/>
        </w:rPr>
        <w:t>13</w:t>
      </w:r>
      <w:r w:rsidRPr="00F16B50">
        <w:rPr>
          <w:rFonts w:ascii="Calibri" w:hAnsi="Calibri" w:cs="Calibri"/>
        </w:rPr>
        <w:t>(1), 14474. https://doi.org/10.1038/s41598-023-41304-0</w:t>
      </w:r>
    </w:p>
    <w:p w14:paraId="649CA8D3" w14:textId="77777777" w:rsidR="00F16B50" w:rsidRPr="00F16B50" w:rsidRDefault="00F16B50" w:rsidP="00F16B50">
      <w:pPr>
        <w:pStyle w:val="Bibliography"/>
        <w:rPr>
          <w:rFonts w:ascii="Calibri" w:hAnsi="Calibri" w:cs="Calibri"/>
        </w:rPr>
      </w:pPr>
      <w:r w:rsidRPr="00F16B50">
        <w:rPr>
          <w:rFonts w:ascii="Calibri" w:hAnsi="Calibri" w:cs="Calibri"/>
        </w:rPr>
        <w:t xml:space="preserve">McGarigal, K., &amp; Cushman, S. A. (2002). Comparative evaluation of experimental approaches to the study of habitat fragmentation effects. </w:t>
      </w:r>
      <w:r w:rsidRPr="00F16B50">
        <w:rPr>
          <w:rFonts w:ascii="Calibri" w:hAnsi="Calibri" w:cs="Calibri"/>
          <w:i/>
          <w:iCs/>
        </w:rPr>
        <w:t>Ecological Applications</w:t>
      </w:r>
      <w:r w:rsidRPr="00F16B50">
        <w:rPr>
          <w:rFonts w:ascii="Calibri" w:hAnsi="Calibri" w:cs="Calibri"/>
        </w:rPr>
        <w:t xml:space="preserve">, </w:t>
      </w:r>
      <w:r w:rsidRPr="00F16B50">
        <w:rPr>
          <w:rFonts w:ascii="Calibri" w:hAnsi="Calibri" w:cs="Calibri"/>
          <w:i/>
          <w:iCs/>
        </w:rPr>
        <w:t>12</w:t>
      </w:r>
      <w:r w:rsidRPr="00F16B50">
        <w:rPr>
          <w:rFonts w:ascii="Calibri" w:hAnsi="Calibri" w:cs="Calibri"/>
        </w:rPr>
        <w:t>(2), 335–345. https://doi.org/10.1890/1051-0761(2002)012[0335:CEOEAT]2.0.CO;2</w:t>
      </w:r>
    </w:p>
    <w:p w14:paraId="6905836A" w14:textId="77777777" w:rsidR="00F16B50" w:rsidRPr="00F16B50" w:rsidRDefault="00F16B50" w:rsidP="00F16B50">
      <w:pPr>
        <w:pStyle w:val="Bibliography"/>
        <w:rPr>
          <w:rFonts w:ascii="Calibri" w:hAnsi="Calibri" w:cs="Calibri"/>
        </w:rPr>
      </w:pPr>
      <w:r w:rsidRPr="00F16B50">
        <w:rPr>
          <w:rFonts w:ascii="Calibri" w:hAnsi="Calibri" w:cs="Calibri"/>
        </w:rPr>
        <w:t xml:space="preserve">Ostrowski, A., Lorenzen, K., Petzold, E., &amp; Schindler, S. (2020). </w:t>
      </w:r>
      <w:r w:rsidRPr="00F16B50">
        <w:rPr>
          <w:rFonts w:ascii="Calibri" w:hAnsi="Calibri" w:cs="Calibri"/>
          <w:i/>
          <w:iCs/>
        </w:rPr>
        <w:t>Land use intensity index (LUI) calculation tool of the Biodiversity Exploratories project for grassland survey data from three different regions in Germany since 2006, BEXIS 2 module</w:t>
      </w:r>
      <w:r w:rsidRPr="00F16B50">
        <w:rPr>
          <w:rFonts w:ascii="Calibri" w:hAnsi="Calibri" w:cs="Calibri"/>
        </w:rPr>
        <w:t xml:space="preserve"> (Version v2.0.0) [Computer software]. Zenodo. https://doi.org/10.5281/zenodo.3865579</w:t>
      </w:r>
    </w:p>
    <w:p w14:paraId="138F5C0B" w14:textId="77777777" w:rsidR="00F16B50" w:rsidRPr="00F16B50" w:rsidRDefault="00F16B50" w:rsidP="00F16B50">
      <w:pPr>
        <w:pStyle w:val="Bibliography"/>
        <w:rPr>
          <w:rFonts w:ascii="Calibri" w:hAnsi="Calibri" w:cs="Calibri"/>
        </w:rPr>
      </w:pPr>
      <w:r w:rsidRPr="00F16B50">
        <w:rPr>
          <w:rFonts w:ascii="Calibri" w:hAnsi="Calibri" w:cs="Calibri"/>
        </w:rPr>
        <w:t xml:space="preserve">Parreño, M. A., Koirala, S., Arisoy, B., Meeus, I., Piot, N., &amp; Leonhardt, S. D. (2023). </w:t>
      </w:r>
      <w:r w:rsidRPr="00F16B50">
        <w:rPr>
          <w:rFonts w:ascii="Calibri" w:hAnsi="Calibri" w:cs="Calibri"/>
          <w:i/>
          <w:iCs/>
        </w:rPr>
        <w:t>Land classification in an area of 500 m2 around NutriB2 plots based on remote sensing data. Dataset: 31557.</w:t>
      </w:r>
      <w:r w:rsidRPr="00F16B50">
        <w:rPr>
          <w:rFonts w:ascii="Calibri" w:hAnsi="Calibri" w:cs="Calibri"/>
        </w:rPr>
        <w:t xml:space="preserve"> [Dataset]. Biodiversity Exploratories Information System. https://www.bexis.uni-jena.de</w:t>
      </w:r>
    </w:p>
    <w:p w14:paraId="7DCAC000" w14:textId="77777777" w:rsidR="00F16B50" w:rsidRPr="00F16B50" w:rsidRDefault="00F16B50" w:rsidP="00F16B50">
      <w:pPr>
        <w:pStyle w:val="Bibliography"/>
        <w:rPr>
          <w:rFonts w:ascii="Calibri" w:hAnsi="Calibri" w:cs="Calibri"/>
        </w:rPr>
      </w:pPr>
      <w:r w:rsidRPr="00F16B50">
        <w:rPr>
          <w:rFonts w:ascii="Calibri" w:hAnsi="Calibri" w:cs="Calibri"/>
        </w:rPr>
        <w:t xml:space="preserve">Quaresma, A., Ankenbrand, M. J., Garcia, C. A. Y., Rufino, J., Honrado, M., Amaral, J., Brodschneider, R., Brusbardis, V., Gratzer, K., Hatjina, F., Kilpinen, O., Pietropaoli, M., Roessink, I., van der Steen, J., Vejsnæs, F., Pinto, M. A., &amp; Keller, A. (2024). Semi-automated sequence curation for reliable reference datasets in ITS2 vascular plant DNA (meta-)barcoding. </w:t>
      </w:r>
      <w:r w:rsidRPr="00F16B50">
        <w:rPr>
          <w:rFonts w:ascii="Calibri" w:hAnsi="Calibri" w:cs="Calibri"/>
          <w:i/>
          <w:iCs/>
        </w:rPr>
        <w:t>Scientific Data</w:t>
      </w:r>
      <w:r w:rsidRPr="00F16B50">
        <w:rPr>
          <w:rFonts w:ascii="Calibri" w:hAnsi="Calibri" w:cs="Calibri"/>
        </w:rPr>
        <w:t xml:space="preserve">, </w:t>
      </w:r>
      <w:r w:rsidRPr="00F16B50">
        <w:rPr>
          <w:rFonts w:ascii="Calibri" w:hAnsi="Calibri" w:cs="Calibri"/>
          <w:i/>
          <w:iCs/>
        </w:rPr>
        <w:t>11</w:t>
      </w:r>
      <w:r w:rsidRPr="00F16B50">
        <w:rPr>
          <w:rFonts w:ascii="Calibri" w:hAnsi="Calibri" w:cs="Calibri"/>
        </w:rPr>
        <w:t>(1), 129. https://doi.org/10.1038/s41597-024-02962-5</w:t>
      </w:r>
    </w:p>
    <w:p w14:paraId="6634AE11" w14:textId="77777777" w:rsidR="00F16B50" w:rsidRPr="00F16B50" w:rsidRDefault="00F16B50" w:rsidP="00F16B50">
      <w:pPr>
        <w:pStyle w:val="Bibliography"/>
        <w:rPr>
          <w:rFonts w:ascii="Calibri" w:hAnsi="Calibri" w:cs="Calibri"/>
        </w:rPr>
      </w:pPr>
      <w:r w:rsidRPr="00F16B50">
        <w:rPr>
          <w:rFonts w:ascii="Calibri" w:hAnsi="Calibri" w:cs="Calibri"/>
        </w:rPr>
        <w:lastRenderedPageBreak/>
        <w:t xml:space="preserve">Quaresma, A., Garcia, C. A. Y., Rufino, J., Honrado, M., Amaral, J., Brodschneider, R., Brusbardis, V., Gratzer, K., Hatjina, F., Kilpinen, O., Pietropaoli, M., Roessink, I., Steen, J. van der, Vejsnæs, F., Pinto, M. A., &amp; Keller, A. (2023). Semi-automated curation and manual addition of sequences to build reliable and extensive reference databases for ITS2 vascular plant DNA (meta-)barcoding. </w:t>
      </w:r>
      <w:r w:rsidRPr="00F16B50">
        <w:rPr>
          <w:rFonts w:ascii="Calibri" w:hAnsi="Calibri" w:cs="Calibri"/>
          <w:i/>
          <w:iCs/>
        </w:rPr>
        <w:t>bioRxiv</w:t>
      </w:r>
      <w:r w:rsidRPr="00F16B50">
        <w:rPr>
          <w:rFonts w:ascii="Calibri" w:hAnsi="Calibri" w:cs="Calibri"/>
        </w:rPr>
        <w:t>, 2023.06.12.544582. https://doi.org/10.1101/2023.06.12.544582</w:t>
      </w:r>
    </w:p>
    <w:p w14:paraId="0E06BBF0" w14:textId="77777777" w:rsidR="00F16B50" w:rsidRPr="00F16B50" w:rsidRDefault="00F16B50" w:rsidP="00F16B50">
      <w:pPr>
        <w:pStyle w:val="Bibliography"/>
        <w:rPr>
          <w:rFonts w:ascii="Calibri" w:hAnsi="Calibri" w:cs="Calibri"/>
        </w:rPr>
      </w:pPr>
      <w:r w:rsidRPr="00F16B50">
        <w:rPr>
          <w:rFonts w:ascii="Calibri" w:hAnsi="Calibri" w:cs="Calibri"/>
        </w:rPr>
        <w:t xml:space="preserve">Rognes, T., Flouri, T., Nichols, B., Quince, C., &amp; Mahé, F. (2016). VSEARCH: a versatile open source tool for metagenomics. </w:t>
      </w:r>
      <w:r w:rsidRPr="00F16B50">
        <w:rPr>
          <w:rFonts w:ascii="Calibri" w:hAnsi="Calibri" w:cs="Calibri"/>
          <w:i/>
          <w:iCs/>
        </w:rPr>
        <w:t>PeerJ</w:t>
      </w:r>
      <w:r w:rsidRPr="00F16B50">
        <w:rPr>
          <w:rFonts w:ascii="Calibri" w:hAnsi="Calibri" w:cs="Calibri"/>
        </w:rPr>
        <w:t xml:space="preserve">, </w:t>
      </w:r>
      <w:r w:rsidRPr="00F16B50">
        <w:rPr>
          <w:rFonts w:ascii="Calibri" w:hAnsi="Calibri" w:cs="Calibri"/>
          <w:i/>
          <w:iCs/>
        </w:rPr>
        <w:t>4</w:t>
      </w:r>
      <w:r w:rsidRPr="00F16B50">
        <w:rPr>
          <w:rFonts w:ascii="Calibri" w:hAnsi="Calibri" w:cs="Calibri"/>
        </w:rPr>
        <w:t>, e2584. https://doi.org/10.7717/peerj.2584</w:t>
      </w:r>
    </w:p>
    <w:p w14:paraId="3364A009" w14:textId="77777777" w:rsidR="00F16B50" w:rsidRPr="00F16B50" w:rsidRDefault="00F16B50" w:rsidP="00F16B50">
      <w:pPr>
        <w:pStyle w:val="Bibliography"/>
        <w:rPr>
          <w:rFonts w:ascii="Calibri" w:hAnsi="Calibri" w:cs="Calibri"/>
        </w:rPr>
      </w:pPr>
      <w:r w:rsidRPr="00F16B50">
        <w:rPr>
          <w:rFonts w:ascii="Calibri" w:hAnsi="Calibri" w:cs="Calibri"/>
        </w:rPr>
        <w:t xml:space="preserve">Roswell, M., Dushoff, J., &amp; Winfree, R. (2021). A conceptual guide to measuring species diversity. </w:t>
      </w:r>
      <w:r w:rsidRPr="00F16B50">
        <w:rPr>
          <w:rFonts w:ascii="Calibri" w:hAnsi="Calibri" w:cs="Calibri"/>
          <w:i/>
          <w:iCs/>
        </w:rPr>
        <w:t>Oikos</w:t>
      </w:r>
      <w:r w:rsidRPr="00F16B50">
        <w:rPr>
          <w:rFonts w:ascii="Calibri" w:hAnsi="Calibri" w:cs="Calibri"/>
        </w:rPr>
        <w:t xml:space="preserve">, </w:t>
      </w:r>
      <w:r w:rsidRPr="00F16B50">
        <w:rPr>
          <w:rFonts w:ascii="Calibri" w:hAnsi="Calibri" w:cs="Calibri"/>
          <w:i/>
          <w:iCs/>
        </w:rPr>
        <w:t>130</w:t>
      </w:r>
      <w:r w:rsidRPr="00F16B50">
        <w:rPr>
          <w:rFonts w:ascii="Calibri" w:hAnsi="Calibri" w:cs="Calibri"/>
        </w:rPr>
        <w:t>(3), 321–338. https://doi.org/10.1111/oik.07202</w:t>
      </w:r>
    </w:p>
    <w:p w14:paraId="365C3570" w14:textId="77777777" w:rsidR="00F16B50" w:rsidRPr="00F16B50" w:rsidRDefault="00F16B50" w:rsidP="00F16B50">
      <w:pPr>
        <w:pStyle w:val="Bibliography"/>
        <w:rPr>
          <w:rFonts w:ascii="Calibri" w:hAnsi="Calibri" w:cs="Calibri"/>
        </w:rPr>
      </w:pPr>
      <w:r w:rsidRPr="00F16B50">
        <w:rPr>
          <w:rFonts w:ascii="Calibri" w:hAnsi="Calibri" w:cs="Calibri"/>
        </w:rPr>
        <w:t xml:space="preserve">Sumeers. (2023). </w:t>
      </w:r>
      <w:r w:rsidRPr="00F16B50">
        <w:rPr>
          <w:rFonts w:ascii="Calibri" w:hAnsi="Calibri" w:cs="Calibri"/>
          <w:i/>
          <w:iCs/>
        </w:rPr>
        <w:t>Land use land cover (Belgium and Germany)</w:t>
      </w:r>
      <w:r w:rsidRPr="00F16B50">
        <w:rPr>
          <w:rFonts w:ascii="Calibri" w:hAnsi="Calibri" w:cs="Calibri"/>
        </w:rPr>
        <w:t xml:space="preserve"> [Python]. https://github.com/Sumeers/sumeer (Original work published 2023)</w:t>
      </w:r>
    </w:p>
    <w:p w14:paraId="0A7ADE0F" w14:textId="77777777" w:rsidR="00F16B50" w:rsidRPr="00F16B50" w:rsidRDefault="00F16B50" w:rsidP="00F16B50">
      <w:pPr>
        <w:pStyle w:val="Bibliography"/>
        <w:rPr>
          <w:rFonts w:ascii="Calibri" w:hAnsi="Calibri" w:cs="Calibri"/>
        </w:rPr>
      </w:pPr>
      <w:r w:rsidRPr="00F16B50">
        <w:rPr>
          <w:rFonts w:ascii="Calibri" w:hAnsi="Calibri" w:cs="Calibri"/>
        </w:rPr>
        <w:t xml:space="preserve">Vogt, J., Klaus, V. H., Both, S., Fürstenau, C., Gockel, S., Gossner, M. M., Heinze, J., Hemp, A., Hölzel, N., Jung, K., Kleinebecker, T., Lauterbach, R., Lorenzen, K., Ostrowski, A., Otto, N., Prati, D., Renner, S., Schumacher, U., Seibold, S., … Weisser, W. W. (2019). Eleven years’ data of grassland management in Germany. </w:t>
      </w:r>
      <w:r w:rsidRPr="00F16B50">
        <w:rPr>
          <w:rFonts w:ascii="Calibri" w:hAnsi="Calibri" w:cs="Calibri"/>
          <w:i/>
          <w:iCs/>
        </w:rPr>
        <w:t>Biodiversity Data Journal</w:t>
      </w:r>
      <w:r w:rsidRPr="00F16B50">
        <w:rPr>
          <w:rFonts w:ascii="Calibri" w:hAnsi="Calibri" w:cs="Calibri"/>
        </w:rPr>
        <w:t xml:space="preserve">, </w:t>
      </w:r>
      <w:r w:rsidRPr="00F16B50">
        <w:rPr>
          <w:rFonts w:ascii="Calibri" w:hAnsi="Calibri" w:cs="Calibri"/>
          <w:i/>
          <w:iCs/>
        </w:rPr>
        <w:t>7</w:t>
      </w:r>
      <w:r w:rsidRPr="00F16B50">
        <w:rPr>
          <w:rFonts w:ascii="Calibri" w:hAnsi="Calibri" w:cs="Calibri"/>
        </w:rPr>
        <w:t>, e36387. https://doi.org/10.3897/BDJ.7.e36387</w:t>
      </w:r>
    </w:p>
    <w:p w14:paraId="26A5AD28" w14:textId="77777777" w:rsidR="00F16B50" w:rsidRPr="00F16B50" w:rsidRDefault="00F16B50" w:rsidP="00F16B50">
      <w:pPr>
        <w:pStyle w:val="Bibliography"/>
        <w:rPr>
          <w:rFonts w:ascii="Calibri" w:hAnsi="Calibri" w:cs="Calibri"/>
        </w:rPr>
      </w:pPr>
      <w:r w:rsidRPr="00F16B50">
        <w:rPr>
          <w:rFonts w:ascii="Calibri" w:hAnsi="Calibri" w:cs="Calibri"/>
        </w:rPr>
        <w:t xml:space="preserve">Wöllauer, S., Zeuss, D., Magdon, P., &amp; Nauss, T. (2021). RSDB: an easy to deploy open-source web platform for remote sensing raster and point cloud data management, exploration and processing. </w:t>
      </w:r>
      <w:r w:rsidRPr="00F16B50">
        <w:rPr>
          <w:rFonts w:ascii="Calibri" w:hAnsi="Calibri" w:cs="Calibri"/>
          <w:i/>
          <w:iCs/>
        </w:rPr>
        <w:t>Ecography</w:t>
      </w:r>
      <w:r w:rsidRPr="00F16B50">
        <w:rPr>
          <w:rFonts w:ascii="Calibri" w:hAnsi="Calibri" w:cs="Calibri"/>
        </w:rPr>
        <w:t xml:space="preserve">, </w:t>
      </w:r>
      <w:r w:rsidRPr="00F16B50">
        <w:rPr>
          <w:rFonts w:ascii="Calibri" w:hAnsi="Calibri" w:cs="Calibri"/>
          <w:i/>
          <w:iCs/>
        </w:rPr>
        <w:t>44</w:t>
      </w:r>
      <w:r w:rsidRPr="00F16B50">
        <w:rPr>
          <w:rFonts w:ascii="Calibri" w:hAnsi="Calibri" w:cs="Calibri"/>
        </w:rPr>
        <w:t>(3), 414–426. https://doi.org/10.1111/ecog.05266</w:t>
      </w:r>
    </w:p>
    <w:p w14:paraId="47E445E8" w14:textId="76605075" w:rsidR="003D5084" w:rsidRPr="003D5084" w:rsidRDefault="003D5084" w:rsidP="003D5084"/>
    <w:p w14:paraId="0324ED1F" w14:textId="77777777" w:rsidR="003D5084" w:rsidRPr="00A22BCC" w:rsidRDefault="003D5084" w:rsidP="00A22BCC">
      <w:pPr>
        <w:spacing w:line="360" w:lineRule="auto"/>
        <w:jc w:val="both"/>
        <w:rPr>
          <w:sz w:val="24"/>
          <w:szCs w:val="24"/>
        </w:rPr>
      </w:pPr>
      <w:bookmarkStart w:id="3" w:name="_GoBack"/>
      <w:bookmarkEnd w:id="3"/>
    </w:p>
    <w:sectPr w:rsidR="003D5084" w:rsidRPr="00A22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F61AA"/>
    <w:multiLevelType w:val="hybridMultilevel"/>
    <w:tmpl w:val="E15C393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81"/>
    <w:rsid w:val="00020DEB"/>
    <w:rsid w:val="0003430A"/>
    <w:rsid w:val="000529D2"/>
    <w:rsid w:val="000878D6"/>
    <w:rsid w:val="000972B3"/>
    <w:rsid w:val="000A5E0E"/>
    <w:rsid w:val="000A7DBE"/>
    <w:rsid w:val="000C042A"/>
    <w:rsid w:val="000D7502"/>
    <w:rsid w:val="000E779A"/>
    <w:rsid w:val="000F528A"/>
    <w:rsid w:val="00106FC4"/>
    <w:rsid w:val="00125E06"/>
    <w:rsid w:val="00132D28"/>
    <w:rsid w:val="001352C0"/>
    <w:rsid w:val="00142245"/>
    <w:rsid w:val="00150C41"/>
    <w:rsid w:val="00161B0C"/>
    <w:rsid w:val="00163210"/>
    <w:rsid w:val="00164ED1"/>
    <w:rsid w:val="00175678"/>
    <w:rsid w:val="001A2F1B"/>
    <w:rsid w:val="001A3A99"/>
    <w:rsid w:val="001B3B2D"/>
    <w:rsid w:val="001C1EF1"/>
    <w:rsid w:val="001D7BFC"/>
    <w:rsid w:val="001E38C5"/>
    <w:rsid w:val="001E501F"/>
    <w:rsid w:val="00201CE7"/>
    <w:rsid w:val="00214AFF"/>
    <w:rsid w:val="00226DF4"/>
    <w:rsid w:val="0023593C"/>
    <w:rsid w:val="002435D5"/>
    <w:rsid w:val="0026242C"/>
    <w:rsid w:val="00265E55"/>
    <w:rsid w:val="00296E21"/>
    <w:rsid w:val="002B3D3B"/>
    <w:rsid w:val="002D6E76"/>
    <w:rsid w:val="002F708E"/>
    <w:rsid w:val="00304546"/>
    <w:rsid w:val="00317F89"/>
    <w:rsid w:val="0036168D"/>
    <w:rsid w:val="00363049"/>
    <w:rsid w:val="00376E73"/>
    <w:rsid w:val="003D5084"/>
    <w:rsid w:val="003E0F10"/>
    <w:rsid w:val="003F2C90"/>
    <w:rsid w:val="003F39AC"/>
    <w:rsid w:val="00403804"/>
    <w:rsid w:val="00414EDB"/>
    <w:rsid w:val="00432AC2"/>
    <w:rsid w:val="00433A81"/>
    <w:rsid w:val="00463554"/>
    <w:rsid w:val="00465E48"/>
    <w:rsid w:val="004753A7"/>
    <w:rsid w:val="004A1DCC"/>
    <w:rsid w:val="004A75C7"/>
    <w:rsid w:val="004B61EE"/>
    <w:rsid w:val="004B775D"/>
    <w:rsid w:val="004C4103"/>
    <w:rsid w:val="004F219A"/>
    <w:rsid w:val="00500EEB"/>
    <w:rsid w:val="0050489A"/>
    <w:rsid w:val="00531E00"/>
    <w:rsid w:val="00535DBF"/>
    <w:rsid w:val="005A2D9C"/>
    <w:rsid w:val="005A6202"/>
    <w:rsid w:val="005B19D5"/>
    <w:rsid w:val="005B1BF4"/>
    <w:rsid w:val="005D01CC"/>
    <w:rsid w:val="005E3AFD"/>
    <w:rsid w:val="00623C69"/>
    <w:rsid w:val="00642F16"/>
    <w:rsid w:val="00664255"/>
    <w:rsid w:val="00665519"/>
    <w:rsid w:val="00682C35"/>
    <w:rsid w:val="00697724"/>
    <w:rsid w:val="006A1718"/>
    <w:rsid w:val="006A7603"/>
    <w:rsid w:val="006B1D45"/>
    <w:rsid w:val="006B5658"/>
    <w:rsid w:val="006B5D45"/>
    <w:rsid w:val="006C7DC9"/>
    <w:rsid w:val="006D75BA"/>
    <w:rsid w:val="006E24BE"/>
    <w:rsid w:val="00714936"/>
    <w:rsid w:val="00735B3D"/>
    <w:rsid w:val="00747F3B"/>
    <w:rsid w:val="007708AD"/>
    <w:rsid w:val="00770C74"/>
    <w:rsid w:val="007B01FD"/>
    <w:rsid w:val="007B731D"/>
    <w:rsid w:val="008332F1"/>
    <w:rsid w:val="00842E14"/>
    <w:rsid w:val="00894773"/>
    <w:rsid w:val="008A090A"/>
    <w:rsid w:val="008A2B10"/>
    <w:rsid w:val="008A2C50"/>
    <w:rsid w:val="008E0060"/>
    <w:rsid w:val="008E2302"/>
    <w:rsid w:val="008F750D"/>
    <w:rsid w:val="009011AD"/>
    <w:rsid w:val="0090732B"/>
    <w:rsid w:val="00910719"/>
    <w:rsid w:val="00957244"/>
    <w:rsid w:val="009606EC"/>
    <w:rsid w:val="0099638E"/>
    <w:rsid w:val="009973A1"/>
    <w:rsid w:val="009A6C73"/>
    <w:rsid w:val="009E1320"/>
    <w:rsid w:val="009F1A85"/>
    <w:rsid w:val="009F65B7"/>
    <w:rsid w:val="00A152FB"/>
    <w:rsid w:val="00A22BCC"/>
    <w:rsid w:val="00A61AAC"/>
    <w:rsid w:val="00A74A37"/>
    <w:rsid w:val="00A75A09"/>
    <w:rsid w:val="00A7688B"/>
    <w:rsid w:val="00A90208"/>
    <w:rsid w:val="00A97AC9"/>
    <w:rsid w:val="00AA35E3"/>
    <w:rsid w:val="00AB3745"/>
    <w:rsid w:val="00AE007B"/>
    <w:rsid w:val="00B26796"/>
    <w:rsid w:val="00B34D4C"/>
    <w:rsid w:val="00B80E14"/>
    <w:rsid w:val="00BB0098"/>
    <w:rsid w:val="00BB383E"/>
    <w:rsid w:val="00BB42C6"/>
    <w:rsid w:val="00BC2BC3"/>
    <w:rsid w:val="00C0278F"/>
    <w:rsid w:val="00C4257F"/>
    <w:rsid w:val="00C53822"/>
    <w:rsid w:val="00C6503A"/>
    <w:rsid w:val="00C83395"/>
    <w:rsid w:val="00C920F6"/>
    <w:rsid w:val="00CA2FBE"/>
    <w:rsid w:val="00CB020D"/>
    <w:rsid w:val="00CF4C2B"/>
    <w:rsid w:val="00D01BFB"/>
    <w:rsid w:val="00DA0520"/>
    <w:rsid w:val="00DA57E4"/>
    <w:rsid w:val="00DB3F03"/>
    <w:rsid w:val="00DC1AA0"/>
    <w:rsid w:val="00DD4438"/>
    <w:rsid w:val="00DE46ED"/>
    <w:rsid w:val="00DF21A5"/>
    <w:rsid w:val="00E142F8"/>
    <w:rsid w:val="00E31239"/>
    <w:rsid w:val="00E336CC"/>
    <w:rsid w:val="00E5337A"/>
    <w:rsid w:val="00E81474"/>
    <w:rsid w:val="00E97A02"/>
    <w:rsid w:val="00EB054A"/>
    <w:rsid w:val="00ED56E0"/>
    <w:rsid w:val="00EE53AA"/>
    <w:rsid w:val="00EE7154"/>
    <w:rsid w:val="00F06F62"/>
    <w:rsid w:val="00F16B50"/>
    <w:rsid w:val="00F20912"/>
    <w:rsid w:val="00F34BCA"/>
    <w:rsid w:val="00F45D70"/>
    <w:rsid w:val="00F54C37"/>
    <w:rsid w:val="00F56070"/>
    <w:rsid w:val="00F62007"/>
    <w:rsid w:val="00F730F0"/>
    <w:rsid w:val="00F74B18"/>
    <w:rsid w:val="00FA3576"/>
    <w:rsid w:val="00FA36A7"/>
    <w:rsid w:val="00FA6B46"/>
    <w:rsid w:val="00FD3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7DA79586"/>
  <w15:chartTrackingRefBased/>
  <w15:docId w15:val="{22699093-278A-495D-8EC9-E68AFCC3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77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B77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B775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link w:val="TableheadingChar"/>
    <w:qFormat/>
    <w:rsid w:val="00DA57E4"/>
    <w:pPr>
      <w:spacing w:after="40"/>
    </w:pPr>
    <w:rPr>
      <w:rFonts w:cstheme="minorHAnsi"/>
      <w:b/>
      <w:szCs w:val="24"/>
    </w:rPr>
  </w:style>
  <w:style w:type="table" w:styleId="TableGrid">
    <w:name w:val="Table Grid"/>
    <w:basedOn w:val="TableNormal"/>
    <w:uiPriority w:val="39"/>
    <w:rsid w:val="00FA3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ingChar">
    <w:name w:val="Table heading Char"/>
    <w:basedOn w:val="DefaultParagraphFont"/>
    <w:link w:val="Tableheading"/>
    <w:rsid w:val="00DA57E4"/>
    <w:rPr>
      <w:rFonts w:cstheme="minorHAnsi"/>
      <w:b/>
      <w:szCs w:val="24"/>
    </w:rPr>
  </w:style>
  <w:style w:type="paragraph" w:styleId="BalloonText">
    <w:name w:val="Balloon Text"/>
    <w:basedOn w:val="Normal"/>
    <w:link w:val="BalloonTextChar"/>
    <w:uiPriority w:val="99"/>
    <w:semiHidden/>
    <w:unhideWhenUsed/>
    <w:rsid w:val="008947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773"/>
    <w:rPr>
      <w:rFonts w:ascii="Segoe UI" w:hAnsi="Segoe UI" w:cs="Segoe UI"/>
      <w:sz w:val="18"/>
      <w:szCs w:val="18"/>
    </w:rPr>
  </w:style>
  <w:style w:type="character" w:styleId="CommentReference">
    <w:name w:val="annotation reference"/>
    <w:basedOn w:val="DefaultParagraphFont"/>
    <w:uiPriority w:val="99"/>
    <w:semiHidden/>
    <w:unhideWhenUsed/>
    <w:rsid w:val="00AB3745"/>
    <w:rPr>
      <w:sz w:val="16"/>
      <w:szCs w:val="16"/>
    </w:rPr>
  </w:style>
  <w:style w:type="paragraph" w:styleId="CommentText">
    <w:name w:val="annotation text"/>
    <w:basedOn w:val="Normal"/>
    <w:link w:val="CommentTextChar"/>
    <w:uiPriority w:val="99"/>
    <w:unhideWhenUsed/>
    <w:rsid w:val="00AB3745"/>
    <w:pPr>
      <w:spacing w:line="240" w:lineRule="auto"/>
    </w:pPr>
    <w:rPr>
      <w:sz w:val="20"/>
      <w:szCs w:val="20"/>
    </w:rPr>
  </w:style>
  <w:style w:type="character" w:customStyle="1" w:styleId="CommentTextChar">
    <w:name w:val="Comment Text Char"/>
    <w:basedOn w:val="DefaultParagraphFont"/>
    <w:link w:val="CommentText"/>
    <w:uiPriority w:val="99"/>
    <w:rsid w:val="00AB3745"/>
    <w:rPr>
      <w:sz w:val="20"/>
      <w:szCs w:val="20"/>
    </w:rPr>
  </w:style>
  <w:style w:type="paragraph" w:styleId="CommentSubject">
    <w:name w:val="annotation subject"/>
    <w:basedOn w:val="CommentText"/>
    <w:next w:val="CommentText"/>
    <w:link w:val="CommentSubjectChar"/>
    <w:uiPriority w:val="99"/>
    <w:semiHidden/>
    <w:unhideWhenUsed/>
    <w:rsid w:val="00AB3745"/>
    <w:rPr>
      <w:b/>
      <w:bCs/>
    </w:rPr>
  </w:style>
  <w:style w:type="character" w:customStyle="1" w:styleId="CommentSubjectChar">
    <w:name w:val="Comment Subject Char"/>
    <w:basedOn w:val="CommentTextChar"/>
    <w:link w:val="CommentSubject"/>
    <w:uiPriority w:val="99"/>
    <w:semiHidden/>
    <w:rsid w:val="00AB3745"/>
    <w:rPr>
      <w:b/>
      <w:bCs/>
      <w:sz w:val="20"/>
      <w:szCs w:val="20"/>
    </w:rPr>
  </w:style>
  <w:style w:type="character" w:customStyle="1" w:styleId="Heading1Char">
    <w:name w:val="Heading 1 Char"/>
    <w:basedOn w:val="DefaultParagraphFont"/>
    <w:link w:val="Heading1"/>
    <w:uiPriority w:val="9"/>
    <w:rsid w:val="004B775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B775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B775D"/>
    <w:rPr>
      <w:rFonts w:asciiTheme="majorHAnsi" w:eastAsiaTheme="majorEastAsia" w:hAnsiTheme="majorHAnsi" w:cstheme="majorBidi"/>
      <w:color w:val="1F4D78" w:themeColor="accent1" w:themeShade="7F"/>
      <w:sz w:val="24"/>
      <w:szCs w:val="24"/>
    </w:rPr>
  </w:style>
  <w:style w:type="paragraph" w:styleId="Bibliography">
    <w:name w:val="Bibliography"/>
    <w:basedOn w:val="Normal"/>
    <w:next w:val="Normal"/>
    <w:uiPriority w:val="37"/>
    <w:unhideWhenUsed/>
    <w:rsid w:val="00EE53AA"/>
    <w:pPr>
      <w:spacing w:after="0" w:line="480" w:lineRule="auto"/>
      <w:ind w:left="720" w:hanging="720"/>
    </w:pPr>
  </w:style>
  <w:style w:type="character" w:styleId="Hyperlink">
    <w:name w:val="Hyperlink"/>
    <w:basedOn w:val="DefaultParagraphFont"/>
    <w:uiPriority w:val="99"/>
    <w:unhideWhenUsed/>
    <w:rsid w:val="00BC2BC3"/>
    <w:rPr>
      <w:color w:val="0563C1" w:themeColor="hyperlink"/>
      <w:u w:val="single"/>
    </w:rPr>
  </w:style>
  <w:style w:type="paragraph" w:styleId="Revision">
    <w:name w:val="Revision"/>
    <w:hidden/>
    <w:uiPriority w:val="99"/>
    <w:semiHidden/>
    <w:rsid w:val="004A75C7"/>
    <w:pPr>
      <w:spacing w:after="0" w:line="240" w:lineRule="auto"/>
    </w:pPr>
  </w:style>
  <w:style w:type="paragraph" w:styleId="NoSpacing">
    <w:name w:val="No Spacing"/>
    <w:uiPriority w:val="1"/>
    <w:qFormat/>
    <w:rsid w:val="00ED56E0"/>
    <w:pPr>
      <w:spacing w:after="0" w:line="240" w:lineRule="auto"/>
    </w:pPr>
  </w:style>
  <w:style w:type="paragraph" w:customStyle="1" w:styleId="Default">
    <w:name w:val="Default"/>
    <w:rsid w:val="00FD369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9143">
      <w:bodyDiv w:val="1"/>
      <w:marLeft w:val="0"/>
      <w:marRight w:val="0"/>
      <w:marTop w:val="0"/>
      <w:marBottom w:val="0"/>
      <w:divBdr>
        <w:top w:val="none" w:sz="0" w:space="0" w:color="auto"/>
        <w:left w:val="none" w:sz="0" w:space="0" w:color="auto"/>
        <w:bottom w:val="none" w:sz="0" w:space="0" w:color="auto"/>
        <w:right w:val="none" w:sz="0" w:space="0" w:color="auto"/>
      </w:divBdr>
    </w:div>
    <w:div w:id="174004573">
      <w:bodyDiv w:val="1"/>
      <w:marLeft w:val="0"/>
      <w:marRight w:val="0"/>
      <w:marTop w:val="0"/>
      <w:marBottom w:val="0"/>
      <w:divBdr>
        <w:top w:val="none" w:sz="0" w:space="0" w:color="auto"/>
        <w:left w:val="none" w:sz="0" w:space="0" w:color="auto"/>
        <w:bottom w:val="none" w:sz="0" w:space="0" w:color="auto"/>
        <w:right w:val="none" w:sz="0" w:space="0" w:color="auto"/>
      </w:divBdr>
    </w:div>
    <w:div w:id="216626755">
      <w:bodyDiv w:val="1"/>
      <w:marLeft w:val="0"/>
      <w:marRight w:val="0"/>
      <w:marTop w:val="0"/>
      <w:marBottom w:val="0"/>
      <w:divBdr>
        <w:top w:val="none" w:sz="0" w:space="0" w:color="auto"/>
        <w:left w:val="none" w:sz="0" w:space="0" w:color="auto"/>
        <w:bottom w:val="none" w:sz="0" w:space="0" w:color="auto"/>
        <w:right w:val="none" w:sz="0" w:space="0" w:color="auto"/>
      </w:divBdr>
    </w:div>
    <w:div w:id="404111294">
      <w:bodyDiv w:val="1"/>
      <w:marLeft w:val="0"/>
      <w:marRight w:val="0"/>
      <w:marTop w:val="0"/>
      <w:marBottom w:val="0"/>
      <w:divBdr>
        <w:top w:val="none" w:sz="0" w:space="0" w:color="auto"/>
        <w:left w:val="none" w:sz="0" w:space="0" w:color="auto"/>
        <w:bottom w:val="none" w:sz="0" w:space="0" w:color="auto"/>
        <w:right w:val="none" w:sz="0" w:space="0" w:color="auto"/>
      </w:divBdr>
    </w:div>
    <w:div w:id="491604253">
      <w:bodyDiv w:val="1"/>
      <w:marLeft w:val="0"/>
      <w:marRight w:val="0"/>
      <w:marTop w:val="0"/>
      <w:marBottom w:val="0"/>
      <w:divBdr>
        <w:top w:val="none" w:sz="0" w:space="0" w:color="auto"/>
        <w:left w:val="none" w:sz="0" w:space="0" w:color="auto"/>
        <w:bottom w:val="none" w:sz="0" w:space="0" w:color="auto"/>
        <w:right w:val="none" w:sz="0" w:space="0" w:color="auto"/>
      </w:divBdr>
    </w:div>
    <w:div w:id="641278344">
      <w:bodyDiv w:val="1"/>
      <w:marLeft w:val="0"/>
      <w:marRight w:val="0"/>
      <w:marTop w:val="0"/>
      <w:marBottom w:val="0"/>
      <w:divBdr>
        <w:top w:val="none" w:sz="0" w:space="0" w:color="auto"/>
        <w:left w:val="none" w:sz="0" w:space="0" w:color="auto"/>
        <w:bottom w:val="none" w:sz="0" w:space="0" w:color="auto"/>
        <w:right w:val="none" w:sz="0" w:space="0" w:color="auto"/>
      </w:divBdr>
    </w:div>
    <w:div w:id="717436445">
      <w:bodyDiv w:val="1"/>
      <w:marLeft w:val="0"/>
      <w:marRight w:val="0"/>
      <w:marTop w:val="0"/>
      <w:marBottom w:val="0"/>
      <w:divBdr>
        <w:top w:val="none" w:sz="0" w:space="0" w:color="auto"/>
        <w:left w:val="none" w:sz="0" w:space="0" w:color="auto"/>
        <w:bottom w:val="none" w:sz="0" w:space="0" w:color="auto"/>
        <w:right w:val="none" w:sz="0" w:space="0" w:color="auto"/>
      </w:divBdr>
    </w:div>
    <w:div w:id="903757288">
      <w:bodyDiv w:val="1"/>
      <w:marLeft w:val="0"/>
      <w:marRight w:val="0"/>
      <w:marTop w:val="0"/>
      <w:marBottom w:val="0"/>
      <w:divBdr>
        <w:top w:val="none" w:sz="0" w:space="0" w:color="auto"/>
        <w:left w:val="none" w:sz="0" w:space="0" w:color="auto"/>
        <w:bottom w:val="none" w:sz="0" w:space="0" w:color="auto"/>
        <w:right w:val="none" w:sz="0" w:space="0" w:color="auto"/>
      </w:divBdr>
    </w:div>
    <w:div w:id="977226570">
      <w:bodyDiv w:val="1"/>
      <w:marLeft w:val="0"/>
      <w:marRight w:val="0"/>
      <w:marTop w:val="0"/>
      <w:marBottom w:val="0"/>
      <w:divBdr>
        <w:top w:val="none" w:sz="0" w:space="0" w:color="auto"/>
        <w:left w:val="none" w:sz="0" w:space="0" w:color="auto"/>
        <w:bottom w:val="none" w:sz="0" w:space="0" w:color="auto"/>
        <w:right w:val="none" w:sz="0" w:space="0" w:color="auto"/>
      </w:divBdr>
    </w:div>
    <w:div w:id="985204122">
      <w:bodyDiv w:val="1"/>
      <w:marLeft w:val="0"/>
      <w:marRight w:val="0"/>
      <w:marTop w:val="0"/>
      <w:marBottom w:val="0"/>
      <w:divBdr>
        <w:top w:val="none" w:sz="0" w:space="0" w:color="auto"/>
        <w:left w:val="none" w:sz="0" w:space="0" w:color="auto"/>
        <w:bottom w:val="none" w:sz="0" w:space="0" w:color="auto"/>
        <w:right w:val="none" w:sz="0" w:space="0" w:color="auto"/>
      </w:divBdr>
    </w:div>
    <w:div w:id="1033337870">
      <w:bodyDiv w:val="1"/>
      <w:marLeft w:val="0"/>
      <w:marRight w:val="0"/>
      <w:marTop w:val="0"/>
      <w:marBottom w:val="0"/>
      <w:divBdr>
        <w:top w:val="none" w:sz="0" w:space="0" w:color="auto"/>
        <w:left w:val="none" w:sz="0" w:space="0" w:color="auto"/>
        <w:bottom w:val="none" w:sz="0" w:space="0" w:color="auto"/>
        <w:right w:val="none" w:sz="0" w:space="0" w:color="auto"/>
      </w:divBdr>
    </w:div>
    <w:div w:id="1062947490">
      <w:bodyDiv w:val="1"/>
      <w:marLeft w:val="0"/>
      <w:marRight w:val="0"/>
      <w:marTop w:val="0"/>
      <w:marBottom w:val="0"/>
      <w:divBdr>
        <w:top w:val="none" w:sz="0" w:space="0" w:color="auto"/>
        <w:left w:val="none" w:sz="0" w:space="0" w:color="auto"/>
        <w:bottom w:val="none" w:sz="0" w:space="0" w:color="auto"/>
        <w:right w:val="none" w:sz="0" w:space="0" w:color="auto"/>
      </w:divBdr>
    </w:div>
    <w:div w:id="1089809479">
      <w:bodyDiv w:val="1"/>
      <w:marLeft w:val="0"/>
      <w:marRight w:val="0"/>
      <w:marTop w:val="0"/>
      <w:marBottom w:val="0"/>
      <w:divBdr>
        <w:top w:val="none" w:sz="0" w:space="0" w:color="auto"/>
        <w:left w:val="none" w:sz="0" w:space="0" w:color="auto"/>
        <w:bottom w:val="none" w:sz="0" w:space="0" w:color="auto"/>
        <w:right w:val="none" w:sz="0" w:space="0" w:color="auto"/>
      </w:divBdr>
    </w:div>
    <w:div w:id="1258248887">
      <w:bodyDiv w:val="1"/>
      <w:marLeft w:val="0"/>
      <w:marRight w:val="0"/>
      <w:marTop w:val="0"/>
      <w:marBottom w:val="0"/>
      <w:divBdr>
        <w:top w:val="none" w:sz="0" w:space="0" w:color="auto"/>
        <w:left w:val="none" w:sz="0" w:space="0" w:color="auto"/>
        <w:bottom w:val="none" w:sz="0" w:space="0" w:color="auto"/>
        <w:right w:val="none" w:sz="0" w:space="0" w:color="auto"/>
      </w:divBdr>
    </w:div>
    <w:div w:id="1429110431">
      <w:bodyDiv w:val="1"/>
      <w:marLeft w:val="0"/>
      <w:marRight w:val="0"/>
      <w:marTop w:val="0"/>
      <w:marBottom w:val="0"/>
      <w:divBdr>
        <w:top w:val="none" w:sz="0" w:space="0" w:color="auto"/>
        <w:left w:val="none" w:sz="0" w:space="0" w:color="auto"/>
        <w:bottom w:val="none" w:sz="0" w:space="0" w:color="auto"/>
        <w:right w:val="none" w:sz="0" w:space="0" w:color="auto"/>
      </w:divBdr>
    </w:div>
    <w:div w:id="1493259823">
      <w:bodyDiv w:val="1"/>
      <w:marLeft w:val="0"/>
      <w:marRight w:val="0"/>
      <w:marTop w:val="0"/>
      <w:marBottom w:val="0"/>
      <w:divBdr>
        <w:top w:val="none" w:sz="0" w:space="0" w:color="auto"/>
        <w:left w:val="none" w:sz="0" w:space="0" w:color="auto"/>
        <w:bottom w:val="none" w:sz="0" w:space="0" w:color="auto"/>
        <w:right w:val="none" w:sz="0" w:space="0" w:color="auto"/>
      </w:divBdr>
    </w:div>
    <w:div w:id="1713923847">
      <w:bodyDiv w:val="1"/>
      <w:marLeft w:val="0"/>
      <w:marRight w:val="0"/>
      <w:marTop w:val="0"/>
      <w:marBottom w:val="0"/>
      <w:divBdr>
        <w:top w:val="none" w:sz="0" w:space="0" w:color="auto"/>
        <w:left w:val="none" w:sz="0" w:space="0" w:color="auto"/>
        <w:bottom w:val="none" w:sz="0" w:space="0" w:color="auto"/>
        <w:right w:val="none" w:sz="0" w:space="0" w:color="auto"/>
      </w:divBdr>
    </w:div>
    <w:div w:id="1766655177">
      <w:bodyDiv w:val="1"/>
      <w:marLeft w:val="0"/>
      <w:marRight w:val="0"/>
      <w:marTop w:val="0"/>
      <w:marBottom w:val="0"/>
      <w:divBdr>
        <w:top w:val="none" w:sz="0" w:space="0" w:color="auto"/>
        <w:left w:val="none" w:sz="0" w:space="0" w:color="auto"/>
        <w:bottom w:val="none" w:sz="0" w:space="0" w:color="auto"/>
        <w:right w:val="none" w:sz="0" w:space="0" w:color="auto"/>
      </w:divBdr>
    </w:div>
    <w:div w:id="1868373309">
      <w:bodyDiv w:val="1"/>
      <w:marLeft w:val="0"/>
      <w:marRight w:val="0"/>
      <w:marTop w:val="0"/>
      <w:marBottom w:val="0"/>
      <w:divBdr>
        <w:top w:val="none" w:sz="0" w:space="0" w:color="auto"/>
        <w:left w:val="none" w:sz="0" w:space="0" w:color="auto"/>
        <w:bottom w:val="none" w:sz="0" w:space="0" w:color="auto"/>
        <w:right w:val="none" w:sz="0" w:space="0" w:color="auto"/>
      </w:divBdr>
    </w:div>
    <w:div w:id="1930650388">
      <w:bodyDiv w:val="1"/>
      <w:marLeft w:val="0"/>
      <w:marRight w:val="0"/>
      <w:marTop w:val="0"/>
      <w:marBottom w:val="0"/>
      <w:divBdr>
        <w:top w:val="none" w:sz="0" w:space="0" w:color="auto"/>
        <w:left w:val="none" w:sz="0" w:space="0" w:color="auto"/>
        <w:bottom w:val="none" w:sz="0" w:space="0" w:color="auto"/>
        <w:right w:val="none" w:sz="0" w:space="0" w:color="auto"/>
      </w:divBdr>
    </w:div>
    <w:div w:id="201483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8922</TotalTime>
  <Pages>24</Pages>
  <Words>11212</Words>
  <Characters>63912</Characters>
  <Application>Microsoft Office Word</Application>
  <DocSecurity>0</DocSecurity>
  <Lines>532</Lines>
  <Paragraphs>149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Parreno, Maria Alejandra</dc:creator>
  <cp:keywords/>
  <dc:description/>
  <cp:lastModifiedBy>Melodie Carcueva</cp:lastModifiedBy>
  <cp:revision>22</cp:revision>
  <cp:lastPrinted>2024-05-05T10:11:00Z</cp:lastPrinted>
  <dcterms:created xsi:type="dcterms:W3CDTF">2024-06-05T09:20:00Z</dcterms:created>
  <dcterms:modified xsi:type="dcterms:W3CDTF">2024-09-30T04:48:00Z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id="ZUcUxAHw"/&gt;&lt;style id="http://www.zotero.org/styles/apa" locale="en-US" hasBibliography="1" bibliographyStyleHasBeenSet="1"/&gt;&lt;prefs&gt;&lt;pref name="fieldType" value="Field"/&gt;&lt;/prefs&gt;&lt;/data&gt;</vt:lpwstr>
  </property>
</Properties>
</file>