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42" w:rsidRDefault="00187D42" w:rsidP="009476CB">
      <w:pPr>
        <w:pStyle w:val="1"/>
        <w:spacing w:after="120"/>
        <w:rPr>
          <w:color w:val="auto"/>
          <w:lang w:val="en-US"/>
        </w:rPr>
      </w:pPr>
      <w:r>
        <w:rPr>
          <w:color w:val="auto"/>
          <w:lang w:val="en-US"/>
        </w:rPr>
        <w:t>Supplementary material</w:t>
      </w:r>
    </w:p>
    <w:p w:rsidR="009476CB" w:rsidRPr="009476CB" w:rsidRDefault="009476CB" w:rsidP="009476CB">
      <w:pPr>
        <w:rPr>
          <w:lang w:val="en-US"/>
        </w:rPr>
      </w:pPr>
    </w:p>
    <w:p w:rsidR="00187D42" w:rsidRPr="00B33614" w:rsidRDefault="00187D42" w:rsidP="00187D42">
      <w:pPr>
        <w:pStyle w:val="a5"/>
        <w:keepNext/>
        <w:rPr>
          <w:rFonts w:ascii="Times New Roman" w:hAnsi="Times New Roman" w:cs="Times New Roman"/>
          <w:i w:val="0"/>
          <w:color w:val="auto"/>
          <w:sz w:val="20"/>
        </w:rPr>
      </w:pPr>
      <w:bookmarkStart w:id="0" w:name="_Ref152677618"/>
      <w:r w:rsidRPr="00B33614">
        <w:rPr>
          <w:rFonts w:ascii="Times New Roman" w:hAnsi="Times New Roman" w:cs="Times New Roman"/>
          <w:b/>
          <w:i w:val="0"/>
          <w:color w:val="auto"/>
          <w:sz w:val="20"/>
        </w:rPr>
        <w:t>Tab</w:t>
      </w:r>
      <w:bookmarkEnd w:id="0"/>
      <w:r w:rsidR="009476CB">
        <w:rPr>
          <w:rFonts w:ascii="Times New Roman" w:hAnsi="Times New Roman" w:cs="Times New Roman"/>
          <w:b/>
          <w:i w:val="0"/>
          <w:color w:val="auto"/>
          <w:sz w:val="20"/>
        </w:rPr>
        <w:t xml:space="preserve">le S1 </w:t>
      </w:r>
      <w:r w:rsidRPr="00B33614">
        <w:rPr>
          <w:rFonts w:ascii="Times New Roman" w:hAnsi="Times New Roman" w:cs="Times New Roman"/>
          <w:i w:val="0"/>
          <w:color w:val="auto"/>
          <w:sz w:val="20"/>
        </w:rPr>
        <w:t>Overview of the computed crown variables, their units and short descriptions.</w:t>
      </w:r>
    </w:p>
    <w:tbl>
      <w:tblPr>
        <w:tblW w:w="9072" w:type="dxa"/>
        <w:tblCellMar>
          <w:left w:w="70" w:type="dxa"/>
          <w:right w:w="70" w:type="dxa"/>
        </w:tblCellMar>
        <w:tblLook w:val="04A0" w:firstRow="1" w:lastRow="0" w:firstColumn="1" w:lastColumn="0" w:noHBand="0" w:noVBand="1"/>
      </w:tblPr>
      <w:tblGrid>
        <w:gridCol w:w="1843"/>
        <w:gridCol w:w="851"/>
        <w:gridCol w:w="6378"/>
      </w:tblGrid>
      <w:tr w:rsidR="00187D42" w:rsidRPr="00FF2A19" w:rsidTr="000E4EB4">
        <w:trPr>
          <w:trHeight w:val="290"/>
        </w:trPr>
        <w:tc>
          <w:tcPr>
            <w:tcW w:w="1843" w:type="dxa"/>
            <w:tcBorders>
              <w:top w:val="single" w:sz="8" w:space="0" w:color="auto"/>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b/>
                <w:sz w:val="20"/>
                <w:szCs w:val="20"/>
                <w:lang w:val="de-DE"/>
              </w:rPr>
            </w:pPr>
            <w:r>
              <w:rPr>
                <w:rFonts w:ascii="Times New Roman" w:hAnsi="Times New Roman" w:cs="Times New Roman"/>
                <w:b/>
                <w:sz w:val="20"/>
                <w:szCs w:val="20"/>
                <w:lang w:val="de-DE"/>
              </w:rPr>
              <w:t>Variable</w:t>
            </w:r>
          </w:p>
        </w:tc>
        <w:tc>
          <w:tcPr>
            <w:tcW w:w="851" w:type="dxa"/>
            <w:tcBorders>
              <w:top w:val="single" w:sz="8" w:space="0" w:color="auto"/>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b/>
                <w:sz w:val="20"/>
                <w:szCs w:val="20"/>
                <w:lang w:val="de-DE"/>
              </w:rPr>
            </w:pPr>
            <w:r w:rsidRPr="00FF2A19">
              <w:rPr>
                <w:rFonts w:ascii="Times New Roman" w:hAnsi="Times New Roman" w:cs="Times New Roman"/>
                <w:b/>
                <w:sz w:val="20"/>
                <w:szCs w:val="20"/>
                <w:lang w:val="de-DE"/>
              </w:rPr>
              <w:t>Unit</w:t>
            </w:r>
          </w:p>
        </w:tc>
        <w:tc>
          <w:tcPr>
            <w:tcW w:w="6378" w:type="dxa"/>
            <w:tcBorders>
              <w:top w:val="single" w:sz="8" w:space="0" w:color="auto"/>
              <w:bottom w:val="single" w:sz="4" w:space="0" w:color="auto"/>
            </w:tcBorders>
            <w:shd w:val="clear" w:color="auto" w:fill="auto"/>
            <w:vAlign w:val="center"/>
            <w:hideMark/>
          </w:tcPr>
          <w:p w:rsidR="00187D42" w:rsidRPr="00FF2A19" w:rsidRDefault="00187D42" w:rsidP="00D80732">
            <w:pPr>
              <w:spacing w:after="0" w:line="276" w:lineRule="auto"/>
              <w:rPr>
                <w:rFonts w:ascii="Times New Roman" w:hAnsi="Times New Roman" w:cs="Times New Roman"/>
                <w:b/>
                <w:sz w:val="20"/>
                <w:szCs w:val="20"/>
                <w:lang w:val="de-DE"/>
              </w:rPr>
            </w:pPr>
            <w:r w:rsidRPr="00FF2A19">
              <w:rPr>
                <w:rFonts w:ascii="Times New Roman" w:hAnsi="Times New Roman" w:cs="Times New Roman"/>
                <w:b/>
                <w:sz w:val="20"/>
                <w:szCs w:val="20"/>
                <w:lang w:val="de-DE"/>
              </w:rPr>
              <w:t>Description</w:t>
            </w:r>
          </w:p>
        </w:tc>
      </w:tr>
      <w:tr w:rsidR="00187D42" w:rsidRPr="00FF2A19" w:rsidTr="00D80732">
        <w:trPr>
          <w:trHeight w:val="290"/>
        </w:trPr>
        <w:tc>
          <w:tcPr>
            <w:tcW w:w="2694" w:type="dxa"/>
            <w:gridSpan w:val="2"/>
            <w:tcBorders>
              <w:top w:val="single" w:sz="4" w:space="0" w:color="auto"/>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b/>
                <w:sz w:val="20"/>
                <w:szCs w:val="20"/>
                <w:lang w:val="de-DE"/>
              </w:rPr>
            </w:pPr>
            <w:r w:rsidRPr="00FF2A19">
              <w:rPr>
                <w:rFonts w:ascii="Times New Roman" w:hAnsi="Times New Roman" w:cs="Times New Roman"/>
                <w:b/>
                <w:sz w:val="20"/>
                <w:szCs w:val="20"/>
                <w:lang w:val="de-DE"/>
              </w:rPr>
              <w:t>Whole tree</w:t>
            </w:r>
          </w:p>
        </w:tc>
        <w:tc>
          <w:tcPr>
            <w:tcW w:w="6378" w:type="dxa"/>
            <w:tcBorders>
              <w:top w:val="single" w:sz="4" w:space="0" w:color="auto"/>
              <w:bottom w:val="single" w:sz="4" w:space="0" w:color="auto"/>
            </w:tcBorders>
            <w:shd w:val="clear" w:color="auto" w:fill="auto"/>
            <w:vAlign w:val="center"/>
            <w:hideMark/>
          </w:tcPr>
          <w:p w:rsidR="00187D42" w:rsidRPr="00FF2A19" w:rsidRDefault="00187D42" w:rsidP="00D80732">
            <w:pPr>
              <w:spacing w:after="0" w:line="276" w:lineRule="auto"/>
              <w:rPr>
                <w:rFonts w:ascii="Times New Roman" w:hAnsi="Times New Roman" w:cs="Times New Roman"/>
                <w:sz w:val="20"/>
                <w:szCs w:val="20"/>
                <w:lang w:val="de-DE"/>
              </w:rPr>
            </w:pPr>
          </w:p>
        </w:tc>
      </w:tr>
      <w:tr w:rsidR="00187D42" w:rsidRPr="00FF2A19" w:rsidTr="00D80732">
        <w:trPr>
          <w:trHeight w:val="290"/>
        </w:trPr>
        <w:tc>
          <w:tcPr>
            <w:tcW w:w="1843" w:type="dxa"/>
            <w:tcBorders>
              <w:top w:val="single" w:sz="4" w:space="0" w:color="auto"/>
            </w:tcBorders>
            <w:shd w:val="clear" w:color="auto" w:fill="auto"/>
            <w:noWrap/>
            <w:vAlign w:val="center"/>
            <w:hideMark/>
          </w:tcPr>
          <w:p w:rsidR="00187D42" w:rsidRPr="000E4EB4" w:rsidRDefault="00187D42" w:rsidP="00D80732">
            <w:pPr>
              <w:spacing w:after="0" w:line="276" w:lineRule="auto"/>
              <w:rPr>
                <w:rFonts w:ascii="Times New Roman" w:hAnsi="Times New Roman" w:cs="Times New Roman"/>
                <w:i/>
                <w:sz w:val="20"/>
                <w:szCs w:val="20"/>
                <w:lang w:val="de-DE"/>
              </w:rPr>
            </w:pPr>
            <w:r w:rsidRPr="000E4EB4">
              <w:rPr>
                <w:rFonts w:ascii="Times New Roman" w:hAnsi="Times New Roman" w:cs="Times New Roman"/>
                <w:i/>
                <w:sz w:val="20"/>
                <w:szCs w:val="20"/>
                <w:lang w:val="de-DE"/>
              </w:rPr>
              <w:t>h</w:t>
            </w:r>
          </w:p>
        </w:tc>
        <w:tc>
          <w:tcPr>
            <w:tcW w:w="851" w:type="dxa"/>
            <w:tcBorders>
              <w:top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tcBorders>
              <w:top w:val="single" w:sz="4" w:space="0" w:color="auto"/>
            </w:tcBorders>
            <w:shd w:val="clear" w:color="auto" w:fill="auto"/>
            <w:vAlign w:val="center"/>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Tree height</w:t>
            </w:r>
          </w:p>
        </w:tc>
      </w:tr>
      <w:tr w:rsidR="00187D42" w:rsidRPr="00FF2A19" w:rsidTr="00D80732">
        <w:trPr>
          <w:trHeight w:val="290"/>
        </w:trPr>
        <w:tc>
          <w:tcPr>
            <w:tcW w:w="1843" w:type="dxa"/>
            <w:tcBorders>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dbh</w:t>
            </w:r>
          </w:p>
        </w:tc>
        <w:tc>
          <w:tcPr>
            <w:tcW w:w="851" w:type="dxa"/>
            <w:tcBorders>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tcBorders>
              <w:bottom w:val="single" w:sz="4" w:space="0" w:color="auto"/>
            </w:tcBorders>
            <w:shd w:val="clear" w:color="auto" w:fill="auto"/>
            <w:vAlign w:val="center"/>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Diameter at breast height</w:t>
            </w:r>
          </w:p>
        </w:tc>
      </w:tr>
      <w:tr w:rsidR="00187D42" w:rsidRPr="00FF2A19" w:rsidTr="00D80732">
        <w:trPr>
          <w:trHeight w:val="290"/>
        </w:trPr>
        <w:tc>
          <w:tcPr>
            <w:tcW w:w="2694" w:type="dxa"/>
            <w:gridSpan w:val="2"/>
            <w:tcBorders>
              <w:top w:val="single" w:sz="4" w:space="0" w:color="auto"/>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b/>
                <w:sz w:val="20"/>
                <w:szCs w:val="20"/>
                <w:lang w:val="de-DE"/>
              </w:rPr>
            </w:pPr>
            <w:r w:rsidRPr="00FF2A19">
              <w:rPr>
                <w:rFonts w:ascii="Times New Roman" w:hAnsi="Times New Roman" w:cs="Times New Roman"/>
                <w:b/>
                <w:sz w:val="20"/>
                <w:szCs w:val="20"/>
                <w:lang w:val="de-DE"/>
              </w:rPr>
              <w:t>Crown morphology</w:t>
            </w:r>
          </w:p>
        </w:tc>
        <w:tc>
          <w:tcPr>
            <w:tcW w:w="6378" w:type="dxa"/>
            <w:tcBorders>
              <w:top w:val="single" w:sz="4" w:space="0" w:color="auto"/>
              <w:bottom w:val="single" w:sz="4" w:space="0" w:color="auto"/>
            </w:tcBorders>
            <w:shd w:val="clear" w:color="auto" w:fill="auto"/>
            <w:vAlign w:val="center"/>
            <w:hideMark/>
          </w:tcPr>
          <w:p w:rsidR="00187D42" w:rsidRPr="00FF2A19" w:rsidRDefault="00187D42" w:rsidP="00D80732">
            <w:pPr>
              <w:spacing w:after="0" w:line="276" w:lineRule="auto"/>
              <w:rPr>
                <w:rFonts w:ascii="Times New Roman" w:hAnsi="Times New Roman" w:cs="Times New Roman"/>
                <w:sz w:val="20"/>
                <w:szCs w:val="20"/>
              </w:rPr>
            </w:pPr>
          </w:p>
        </w:tc>
      </w:tr>
      <w:tr w:rsidR="00187D42" w:rsidRPr="00FF2A19" w:rsidTr="00D80732">
        <w:trPr>
          <w:trHeight w:val="290"/>
        </w:trPr>
        <w:tc>
          <w:tcPr>
            <w:tcW w:w="1843" w:type="dxa"/>
            <w:tcBorders>
              <w:top w:val="single" w:sz="4" w:space="0" w:color="auto"/>
            </w:tcBorders>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cbh</w:t>
            </w:r>
          </w:p>
        </w:tc>
        <w:tc>
          <w:tcPr>
            <w:tcW w:w="851" w:type="dxa"/>
            <w:tcBorders>
              <w:top w:val="single" w:sz="4" w:space="0" w:color="auto"/>
            </w:tcBorders>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tcBorders>
              <w:top w:val="single" w:sz="4" w:space="0" w:color="auto"/>
            </w:tcBorders>
            <w:shd w:val="clear" w:color="auto" w:fill="auto"/>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Crown base height</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cl</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Crown length</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cw</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width (maximum crown diameter)</w:t>
            </w:r>
          </w:p>
        </w:tc>
      </w:tr>
      <w:tr w:rsidR="00187D42" w:rsidRPr="00FF2A19" w:rsidTr="00D80732">
        <w:trPr>
          <w:trHeight w:val="22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cfr</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fullness ratio (ratio between crown width and crown length)</w:t>
            </w:r>
          </w:p>
        </w:tc>
      </w:tr>
      <w:tr w:rsidR="00187D42" w:rsidRPr="00FF2A19" w:rsidTr="00D80732">
        <w:trPr>
          <w:trHeight w:val="224"/>
        </w:trPr>
        <w:tc>
          <w:tcPr>
            <w:tcW w:w="1843" w:type="dxa"/>
            <w:shd w:val="clear" w:color="auto" w:fill="auto"/>
            <w:noWrap/>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csl</w:t>
            </w:r>
          </w:p>
        </w:tc>
        <w:tc>
          <w:tcPr>
            <w:tcW w:w="851" w:type="dxa"/>
            <w:shd w:val="clear" w:color="auto" w:fill="auto"/>
            <w:noWrap/>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spreading level (ratio between crown width and tree height)</w:t>
            </w:r>
          </w:p>
        </w:tc>
      </w:tr>
      <w:tr w:rsidR="00187D42" w:rsidRPr="00FF2A19" w:rsidTr="00D80732">
        <w:trPr>
          <w:trHeight w:val="564"/>
        </w:trPr>
        <w:tc>
          <w:tcPr>
            <w:tcW w:w="1843" w:type="dxa"/>
            <w:shd w:val="clear" w:color="auto" w:fill="auto"/>
            <w:noWrap/>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cor</w:t>
            </w:r>
          </w:p>
        </w:tc>
        <w:tc>
          <w:tcPr>
            <w:tcW w:w="851" w:type="dxa"/>
            <w:shd w:val="clear" w:color="auto" w:fill="auto"/>
            <w:noWrap/>
          </w:tcPr>
          <w:p w:rsidR="00187D42" w:rsidRPr="00FF2A19" w:rsidRDefault="00187D42" w:rsidP="00D80732">
            <w:pPr>
              <w:spacing w:after="0" w:line="276" w:lineRule="auto"/>
              <w:rPr>
                <w:rFonts w:ascii="Times New Roman" w:hAnsi="Times New Roman" w:cs="Times New Roman"/>
                <w:sz w:val="20"/>
                <w:szCs w:val="20"/>
              </w:rPr>
            </w:pPr>
            <w:r>
              <w:rPr>
                <w:rFonts w:ascii="Times New Roman" w:hAnsi="Times New Roman" w:cs="Times New Roman"/>
                <w:sz w:val="20"/>
                <w:szCs w:val="20"/>
              </w:rPr>
              <w:t>-</w:t>
            </w:r>
          </w:p>
        </w:tc>
        <w:tc>
          <w:tcPr>
            <w:tcW w:w="6378" w:type="dxa"/>
            <w:shd w:val="clear" w:color="auto" w:fill="auto"/>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outreach ratio (ratio between crown width and diameter at breast height)</w:t>
            </w:r>
          </w:p>
        </w:tc>
      </w:tr>
      <w:tr w:rsidR="00187D42" w:rsidRPr="00FF2A19" w:rsidTr="00D80732">
        <w:trPr>
          <w:trHeight w:val="23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cth</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 xml:space="preserve">Crown top-heaviness (calculated after </w:t>
            </w:r>
            <w:r w:rsidR="00660242">
              <w:rPr>
                <w:rFonts w:ascii="Times New Roman" w:hAnsi="Times New Roman" w:cs="Times New Roman"/>
                <w:sz w:val="20"/>
                <w:szCs w:val="20"/>
              </w:rPr>
              <w:fldChar w:fldCharType="begin"/>
            </w:r>
            <w:r w:rsidR="00660242">
              <w:rPr>
                <w:rFonts w:ascii="Times New Roman" w:hAnsi="Times New Roman" w:cs="Times New Roman"/>
                <w:sz w:val="20"/>
                <w:szCs w:val="20"/>
              </w:rPr>
              <w:instrText xml:space="preserve"> ADDIN ZOTERO_ITEM CSL_CITATION {"citationID":"hRDY5HB6","properties":{"formattedCitation":"(Pretzsch et al., 2022)","plainCitation":"(Pretzsch et al., 2022)","noteIndex":0},"citationItems":[{"id":39,"uris":["http://zotero.org/users/12805709/items/QTSVY3G6"],"itemData":{"id":39,"type":"article-journal","abstract":"Structural characteristics of tree crowns obtained by TLidar scanning can be used for estimating the course of the stem diameter growth in the past.","container-title":"Trees","DOI":"10.1007/s00468-022-02297-x","ISSN":"1432-2285","issue":"4","journalAbbreviation":"Trees","language":"en","page":"1349-1367","source":"Springer Link","title":"Linking crown structure with tree ring pattern: methodological considerations and proof of concept","title-short":"Linking crown structure with tree ring pattern","volume":"36","author":[{"family":"Pretzsch","given":"Hans"},{"family":"Ahmed","given":"Shamim"},{"family":"Jacobs","given":"Martin"},{"family":"Schmied","given":"Gerhard"},{"family":"Hilmers","given":"Torben"}],"issued":{"date-parts":[["2022"]]}}}],"schema":"https://github.com/citation-style-language/schema/raw/master/csl-citation.json"} </w:instrText>
            </w:r>
            <w:r w:rsidR="00660242">
              <w:rPr>
                <w:rFonts w:ascii="Times New Roman" w:hAnsi="Times New Roman" w:cs="Times New Roman"/>
                <w:sz w:val="20"/>
                <w:szCs w:val="20"/>
              </w:rPr>
              <w:fldChar w:fldCharType="separate"/>
            </w:r>
            <w:r w:rsidR="00660242" w:rsidRPr="00660242">
              <w:rPr>
                <w:rFonts w:ascii="Times New Roman" w:hAnsi="Times New Roman" w:cs="Times New Roman"/>
                <w:sz w:val="20"/>
              </w:rPr>
              <w:t>Pretzsch et al., 2022)</w:t>
            </w:r>
            <w:r w:rsidR="00660242">
              <w:rPr>
                <w:rFonts w:ascii="Times New Roman" w:hAnsi="Times New Roman" w:cs="Times New Roman"/>
                <w:sz w:val="20"/>
                <w:szCs w:val="20"/>
              </w:rPr>
              <w:fldChar w:fldCharType="end"/>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sdcr</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m</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Standard deviation of mean crown radius in 20 height classes</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cpa</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r w:rsidRPr="00FF2A19">
              <w:rPr>
                <w:rFonts w:ascii="Times New Roman" w:hAnsi="Times New Roman" w:cs="Times New Roman"/>
                <w:sz w:val="20"/>
                <w:szCs w:val="20"/>
                <w:vertAlign w:val="superscript"/>
                <w:lang w:val="de-DE"/>
              </w:rPr>
              <w:t>2</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projection area (projection area of the crown alpha shape)</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bvol</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r w:rsidRPr="00FF2A19">
              <w:rPr>
                <w:rFonts w:ascii="Times New Roman" w:hAnsi="Times New Roman" w:cs="Times New Roman"/>
                <w:sz w:val="20"/>
                <w:szCs w:val="20"/>
                <w:vertAlign w:val="superscript"/>
                <w:lang w:val="de-DE"/>
              </w:rPr>
              <w:t>3</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Branch volume (volume of all QSM branch cylinders)</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cv</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r w:rsidRPr="00FF2A19">
              <w:rPr>
                <w:rFonts w:ascii="Times New Roman" w:hAnsi="Times New Roman" w:cs="Times New Roman"/>
                <w:sz w:val="20"/>
                <w:szCs w:val="20"/>
                <w:vertAlign w:val="superscript"/>
                <w:lang w:val="de-DE"/>
              </w:rPr>
              <w:t>3</w:t>
            </w:r>
            <w:r w:rsidRPr="00FF2A19">
              <w:rPr>
                <w:rFonts w:ascii="Times New Roman" w:hAnsi="Times New Roman" w:cs="Times New Roman"/>
                <w:sz w:val="20"/>
                <w:szCs w:val="20"/>
                <w:lang w:val="de-DE"/>
              </w:rPr>
              <w:t xml:space="preserve">  </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volume (volume of the crown alpha shape)</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cca</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r w:rsidRPr="00FF2A19">
              <w:rPr>
                <w:rFonts w:ascii="Times New Roman" w:hAnsi="Times New Roman" w:cs="Times New Roman"/>
                <w:sz w:val="20"/>
                <w:szCs w:val="20"/>
                <w:vertAlign w:val="superscript"/>
                <w:lang w:val="de-DE"/>
              </w:rPr>
              <w:t>2</w:t>
            </w:r>
            <w:r w:rsidRPr="00FF2A19">
              <w:rPr>
                <w:rFonts w:ascii="Times New Roman" w:hAnsi="Times New Roman" w:cs="Times New Roman"/>
                <w:sz w:val="20"/>
                <w:szCs w:val="20"/>
                <w:lang w:val="de-DE"/>
              </w:rPr>
              <w:t xml:space="preserve">  </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coat area (surface area of the crown alpha shape)</w:t>
            </w:r>
          </w:p>
        </w:tc>
      </w:tr>
      <w:tr w:rsidR="00187D42" w:rsidRPr="00FF2A19" w:rsidTr="00D80732">
        <w:trPr>
          <w:trHeight w:val="87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suc</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Proportion of light crown (ratio of light crown length and total crown length, light crown length calculated dependent on height of maximum crown radius)</w:t>
            </w:r>
          </w:p>
        </w:tc>
      </w:tr>
      <w:tr w:rsidR="00187D42" w:rsidRPr="00FF2A19" w:rsidTr="00D80732">
        <w:trPr>
          <w:trHeight w:val="290"/>
        </w:trPr>
        <w:tc>
          <w:tcPr>
            <w:tcW w:w="1843" w:type="dxa"/>
            <w:tcBorders>
              <w:bottom w:val="single" w:sz="4" w:space="0" w:color="auto"/>
            </w:tcBorders>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cas</w:t>
            </w:r>
          </w:p>
        </w:tc>
        <w:tc>
          <w:tcPr>
            <w:tcW w:w="851" w:type="dxa"/>
            <w:tcBorders>
              <w:bottom w:val="single" w:sz="4" w:space="0" w:color="auto"/>
            </w:tcBorders>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tcBorders>
              <w:bottom w:val="single" w:sz="4" w:space="0" w:color="auto"/>
            </w:tcBorders>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Crown asymmetry (calculated afte</w:t>
            </w:r>
            <w:r w:rsidR="00660242">
              <w:rPr>
                <w:rFonts w:ascii="Times New Roman" w:hAnsi="Times New Roman" w:cs="Times New Roman"/>
                <w:sz w:val="20"/>
                <w:szCs w:val="20"/>
              </w:rPr>
              <w:t xml:space="preserve">r </w:t>
            </w:r>
            <w:r w:rsidR="00660242">
              <w:rPr>
                <w:rFonts w:ascii="Times New Roman" w:hAnsi="Times New Roman" w:cs="Times New Roman"/>
                <w:sz w:val="20"/>
                <w:szCs w:val="20"/>
              </w:rPr>
              <w:fldChar w:fldCharType="begin"/>
            </w:r>
            <w:r w:rsidR="00660242">
              <w:rPr>
                <w:rFonts w:ascii="Times New Roman" w:hAnsi="Times New Roman" w:cs="Times New Roman"/>
                <w:sz w:val="20"/>
                <w:szCs w:val="20"/>
              </w:rPr>
              <w:instrText xml:space="preserve"> ADDIN ZOTERO_ITEM CSL_CITATION {"citationID":"g3AGy4rj","properties":{"formattedCitation":"(Shi et al., 2018)","plainCitation":"(Shi et al., 2018)","noteIndex":0},"citationItems":[{"id":228,"uris":["http://zotero.org/users/12805709/items/22J78WVG"],"itemData":{"id":228,"type":"article-journal","abstract":"Many plant leaves exhibit bilateral symmetry, but such symmetry has rarely been measured because of the lack of practical methods. We propose a simple method for achieving the above objective. A leaf is divided into left and right sides, and several equally-sized strips are generated to intersect each side of that leaf to generate pairwise left and right sub-regions. A standardized index (SI) for measuring bilateral symmetry is built based on the left–right areal differences of those sub-regions. The leaves of 10 species of plants were sampled for testing the method’s validity. Based on the experimental data, we compared the root-mean-squared error (RMSE), SI, and areal ratio (AR) of the left side to the right side of the leaf. The SI measures the bilateral symmetry of plant leaves well, and it is better than the RMSE and AR for eliminating the effect of leaf size on the goodness of fit. The SI proposed here is the best indicator for evaluating the degree of bilateral symmetry and can be potentially used for comparing the difference in the bilateral symmetry of leaves of different plants.","container-title":"Symmetry","DOI":"10.3390/sym10040118","ISSN":"2073-8994","issue":"4","language":"en","license":"http://creativecommons.org/licenses/by/3.0/","note":"number: 4\npublisher: Multidisciplinary Digital Publishing Institute","page":"118","source":"www.mdpi.com","title":"A Simple Method for Measuring the Bilateral Symmetry of Leaves","volume":"10","author":[{"family":"Shi","given":"Peijian"},{"family":"Zheng","given":"Xiao"},{"family":"Ratkowsky","given":"David A."},{"family":"Li","given":"Yang"},{"family":"Wang","given":"Ping"},{"family":"Cheng","given":"Liang"}],"issued":{"date-parts":[["2018",4]]}}}],"schema":"https://github.com/citation-style-language/schema/raw/master/csl-citation.json"} </w:instrText>
            </w:r>
            <w:r w:rsidR="00660242">
              <w:rPr>
                <w:rFonts w:ascii="Times New Roman" w:hAnsi="Times New Roman" w:cs="Times New Roman"/>
                <w:sz w:val="20"/>
                <w:szCs w:val="20"/>
              </w:rPr>
              <w:fldChar w:fldCharType="separate"/>
            </w:r>
            <w:r w:rsidR="00660242" w:rsidRPr="00660242">
              <w:rPr>
                <w:rFonts w:ascii="Times New Roman" w:hAnsi="Times New Roman" w:cs="Times New Roman"/>
                <w:sz w:val="20"/>
              </w:rPr>
              <w:t>Shi et al., 2018)</w:t>
            </w:r>
            <w:r w:rsidR="00660242">
              <w:rPr>
                <w:rFonts w:ascii="Times New Roman" w:hAnsi="Times New Roman" w:cs="Times New Roman"/>
                <w:sz w:val="20"/>
                <w:szCs w:val="20"/>
              </w:rPr>
              <w:fldChar w:fldCharType="end"/>
            </w:r>
          </w:p>
        </w:tc>
      </w:tr>
      <w:tr w:rsidR="00187D42" w:rsidRPr="00FF2A19" w:rsidTr="00D80732">
        <w:trPr>
          <w:trHeight w:val="290"/>
        </w:trPr>
        <w:tc>
          <w:tcPr>
            <w:tcW w:w="2694" w:type="dxa"/>
            <w:gridSpan w:val="2"/>
            <w:tcBorders>
              <w:top w:val="single" w:sz="4" w:space="0" w:color="auto"/>
              <w:bottom w:val="single" w:sz="4" w:space="0" w:color="auto"/>
            </w:tcBorders>
            <w:shd w:val="clear" w:color="auto" w:fill="auto"/>
            <w:noWrap/>
            <w:vAlign w:val="center"/>
            <w:hideMark/>
          </w:tcPr>
          <w:p w:rsidR="00187D42" w:rsidRPr="00FF2A19" w:rsidRDefault="00187D42" w:rsidP="00D80732">
            <w:pPr>
              <w:spacing w:after="0" w:line="276" w:lineRule="auto"/>
              <w:rPr>
                <w:rFonts w:ascii="Times New Roman" w:hAnsi="Times New Roman" w:cs="Times New Roman"/>
                <w:b/>
                <w:sz w:val="20"/>
                <w:szCs w:val="20"/>
                <w:lang w:val="de-DE"/>
              </w:rPr>
            </w:pPr>
            <w:r>
              <w:rPr>
                <w:rFonts w:ascii="Times New Roman" w:hAnsi="Times New Roman" w:cs="Times New Roman"/>
                <w:b/>
                <w:sz w:val="20"/>
                <w:szCs w:val="20"/>
                <w:lang w:val="de-DE"/>
              </w:rPr>
              <w:t>Branch</w:t>
            </w:r>
            <w:r w:rsidRPr="00FF2A19">
              <w:rPr>
                <w:rFonts w:ascii="Times New Roman" w:hAnsi="Times New Roman" w:cs="Times New Roman"/>
                <w:b/>
                <w:sz w:val="20"/>
                <w:szCs w:val="20"/>
                <w:lang w:val="de-DE"/>
              </w:rPr>
              <w:t xml:space="preserve"> architecture</w:t>
            </w:r>
          </w:p>
        </w:tc>
        <w:tc>
          <w:tcPr>
            <w:tcW w:w="6378" w:type="dxa"/>
            <w:tcBorders>
              <w:top w:val="single" w:sz="4" w:space="0" w:color="auto"/>
              <w:bottom w:val="single" w:sz="4" w:space="0" w:color="auto"/>
            </w:tcBorders>
            <w:shd w:val="clear" w:color="auto" w:fill="auto"/>
            <w:vAlign w:val="center"/>
            <w:hideMark/>
          </w:tcPr>
          <w:p w:rsidR="00187D42" w:rsidRPr="00FF2A19" w:rsidRDefault="00187D42" w:rsidP="00D80732">
            <w:pPr>
              <w:spacing w:after="0" w:line="276" w:lineRule="auto"/>
              <w:rPr>
                <w:rFonts w:ascii="Times New Roman" w:hAnsi="Times New Roman" w:cs="Times New Roman"/>
                <w:sz w:val="20"/>
                <w:szCs w:val="20"/>
                <w:lang w:val="de-DE"/>
              </w:rPr>
            </w:pPr>
          </w:p>
        </w:tc>
      </w:tr>
      <w:tr w:rsidR="00187D42" w:rsidRPr="00FF2A19" w:rsidTr="00D80732">
        <w:trPr>
          <w:trHeight w:val="290"/>
        </w:trPr>
        <w:tc>
          <w:tcPr>
            <w:tcW w:w="1843" w:type="dxa"/>
            <w:tcBorders>
              <w:top w:val="single" w:sz="4" w:space="0" w:color="auto"/>
            </w:tcBorders>
            <w:shd w:val="clear" w:color="auto" w:fill="auto"/>
            <w:noWrap/>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nb</w:t>
            </w:r>
          </w:p>
        </w:tc>
        <w:tc>
          <w:tcPr>
            <w:tcW w:w="851" w:type="dxa"/>
            <w:tcBorders>
              <w:top w:val="single" w:sz="4" w:space="0" w:color="auto"/>
            </w:tcBorders>
            <w:shd w:val="clear" w:color="auto" w:fill="auto"/>
            <w:noWrap/>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tcBorders>
              <w:top w:val="single" w:sz="4" w:space="0" w:color="auto"/>
            </w:tcBorders>
            <w:shd w:val="clear" w:color="auto" w:fill="auto"/>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Number of all branches</w:t>
            </w:r>
          </w:p>
        </w:tc>
      </w:tr>
      <w:tr w:rsidR="00187D42" w:rsidRPr="00FF2A19" w:rsidTr="00D80732">
        <w:trPr>
          <w:trHeight w:val="290"/>
        </w:trPr>
        <w:tc>
          <w:tcPr>
            <w:tcW w:w="1843" w:type="dxa"/>
            <w:shd w:val="clear" w:color="auto" w:fill="auto"/>
            <w:noWrap/>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nb1</w:t>
            </w:r>
          </w:p>
        </w:tc>
        <w:tc>
          <w:tcPr>
            <w:tcW w:w="851" w:type="dxa"/>
            <w:shd w:val="clear" w:color="auto" w:fill="auto"/>
            <w:noWrap/>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Number of primary branches</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maxbo</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Maximum branching order</w:t>
            </w:r>
          </w:p>
        </w:tc>
      </w:tr>
      <w:tr w:rsidR="00187D42" w:rsidRPr="00FF2A19" w:rsidTr="00D80732">
        <w:trPr>
          <w:trHeight w:val="58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bmd</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Branch mass density of crown volume (ratio between crown volume and branch volume)</w:t>
            </w:r>
          </w:p>
        </w:tc>
      </w:tr>
      <w:tr w:rsidR="00187D42" w:rsidRPr="00FF2A19" w:rsidTr="00D80732">
        <w:trPr>
          <w:trHeight w:val="290"/>
        </w:trPr>
        <w:tc>
          <w:tcPr>
            <w:tcW w:w="1843" w:type="dxa"/>
            <w:shd w:val="clear" w:color="auto" w:fill="auto"/>
            <w:noWrap/>
            <w:hideMark/>
          </w:tcPr>
          <w:p w:rsidR="00187D42" w:rsidRPr="000706A0" w:rsidRDefault="00187D42" w:rsidP="00D80732">
            <w:pPr>
              <w:spacing w:after="0" w:line="276" w:lineRule="auto"/>
              <w:rPr>
                <w:rFonts w:ascii="Times New Roman" w:hAnsi="Times New Roman" w:cs="Times New Roman"/>
                <w:i/>
                <w:sz w:val="20"/>
                <w:szCs w:val="20"/>
                <w:lang w:val="de-DE"/>
              </w:rPr>
            </w:pPr>
            <w:r w:rsidRPr="000706A0">
              <w:rPr>
                <w:rFonts w:ascii="Times New Roman" w:hAnsi="Times New Roman" w:cs="Times New Roman"/>
                <w:i/>
                <w:sz w:val="20"/>
                <w:szCs w:val="20"/>
                <w:lang w:val="de-DE"/>
              </w:rPr>
              <w:t>n</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Number of branching nodes (bifurcations)</w:t>
            </w:r>
          </w:p>
        </w:tc>
      </w:tr>
      <w:tr w:rsidR="00187D42" w:rsidRPr="00FF2A19" w:rsidTr="00D80732">
        <w:trPr>
          <w:trHeight w:val="58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cpl</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Average water conduction path length from all branch tips to soil</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nn</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Pr>
                <w:rFonts w:ascii="Times New Roman" w:hAnsi="Times New Roman" w:cs="Times New Roman"/>
                <w:sz w:val="20"/>
                <w:szCs w:val="20"/>
                <w:lang w:val="de-DE"/>
              </w:rPr>
              <w:t>-</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rPr>
            </w:pPr>
            <w:r w:rsidRPr="00FF2A19">
              <w:rPr>
                <w:rFonts w:ascii="Times New Roman" w:hAnsi="Times New Roman" w:cs="Times New Roman"/>
                <w:sz w:val="20"/>
                <w:szCs w:val="20"/>
              </w:rPr>
              <w:t>Average number of branching nodes per conduction path</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dia_branch</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Average branch base diameter</w:t>
            </w:r>
          </w:p>
        </w:tc>
      </w:tr>
      <w:tr w:rsidR="00187D42" w:rsidRPr="00FF2A19" w:rsidTr="00D80732">
        <w:trPr>
          <w:trHeight w:val="290"/>
        </w:trPr>
        <w:tc>
          <w:tcPr>
            <w:tcW w:w="1843"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len_branch</w:t>
            </w:r>
          </w:p>
        </w:tc>
        <w:tc>
          <w:tcPr>
            <w:tcW w:w="851" w:type="dxa"/>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m</w:t>
            </w:r>
          </w:p>
        </w:tc>
        <w:tc>
          <w:tcPr>
            <w:tcW w:w="6378" w:type="dxa"/>
            <w:shd w:val="clear" w:color="auto" w:fill="auto"/>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Average branch length</w:t>
            </w:r>
          </w:p>
        </w:tc>
      </w:tr>
      <w:tr w:rsidR="00187D42" w:rsidRPr="00FF2A19" w:rsidTr="000E4EB4">
        <w:trPr>
          <w:trHeight w:val="290"/>
        </w:trPr>
        <w:tc>
          <w:tcPr>
            <w:tcW w:w="1843" w:type="dxa"/>
            <w:tcBorders>
              <w:bottom w:val="single" w:sz="8" w:space="0" w:color="auto"/>
            </w:tcBorders>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zen_branch</w:t>
            </w:r>
          </w:p>
        </w:tc>
        <w:tc>
          <w:tcPr>
            <w:tcW w:w="851" w:type="dxa"/>
            <w:tcBorders>
              <w:bottom w:val="single" w:sz="8" w:space="0" w:color="auto"/>
            </w:tcBorders>
            <w:shd w:val="clear" w:color="auto" w:fill="auto"/>
            <w:noWrap/>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w:t>
            </w:r>
          </w:p>
        </w:tc>
        <w:tc>
          <w:tcPr>
            <w:tcW w:w="6378" w:type="dxa"/>
            <w:tcBorders>
              <w:bottom w:val="single" w:sz="8" w:space="0" w:color="auto"/>
            </w:tcBorders>
            <w:shd w:val="clear" w:color="auto" w:fill="auto"/>
            <w:hideMark/>
          </w:tcPr>
          <w:p w:rsidR="00187D42" w:rsidRPr="00FF2A19" w:rsidRDefault="00187D42" w:rsidP="00D80732">
            <w:pPr>
              <w:spacing w:after="0" w:line="276" w:lineRule="auto"/>
              <w:rPr>
                <w:rFonts w:ascii="Times New Roman" w:hAnsi="Times New Roman" w:cs="Times New Roman"/>
                <w:sz w:val="20"/>
                <w:szCs w:val="20"/>
                <w:lang w:val="de-DE"/>
              </w:rPr>
            </w:pPr>
            <w:r w:rsidRPr="00FF2A19">
              <w:rPr>
                <w:rFonts w:ascii="Times New Roman" w:hAnsi="Times New Roman" w:cs="Times New Roman"/>
                <w:sz w:val="20"/>
                <w:szCs w:val="20"/>
                <w:lang w:val="de-DE"/>
              </w:rPr>
              <w:t>Average branch zenith angle</w:t>
            </w:r>
          </w:p>
        </w:tc>
      </w:tr>
    </w:tbl>
    <w:p w:rsidR="00187D42" w:rsidRPr="000F147D" w:rsidRDefault="00187D42" w:rsidP="00187D42">
      <w:pPr>
        <w:spacing w:after="0" w:line="276" w:lineRule="auto"/>
        <w:jc w:val="both"/>
        <w:rPr>
          <w:rFonts w:ascii="Times New Roman" w:hAnsi="Times New Roman" w:cs="Times New Roman"/>
          <w:sz w:val="20"/>
          <w:szCs w:val="20"/>
          <w:lang w:val="en-US"/>
        </w:rPr>
      </w:pPr>
    </w:p>
    <w:p w:rsidR="00187D42" w:rsidRDefault="00187D42" w:rsidP="00660242">
      <w:pPr>
        <w:keepNext/>
        <w:jc w:val="center"/>
      </w:pPr>
      <w:r w:rsidRPr="001C4D8C">
        <w:rPr>
          <w:rFonts w:ascii="Times New Roman" w:eastAsia="Calibri" w:hAnsi="Times New Roman" w:cs="Times New Roman"/>
          <w:noProof/>
          <w:lang w:val="en-US" w:eastAsia="zh-CN"/>
        </w:rPr>
        <w:lastRenderedPageBreak/>
        <w:drawing>
          <wp:inline distT="0" distB="0" distL="0" distR="0" wp14:anchorId="5DF85FB8" wp14:editId="1C7CEB31">
            <wp:extent cx="3569832" cy="3028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645870" cy="3093467"/>
                    </a:xfrm>
                    <a:prstGeom prst="rect">
                      <a:avLst/>
                    </a:prstGeom>
                    <a:noFill/>
                    <a:ln>
                      <a:noFill/>
                    </a:ln>
                  </pic:spPr>
                </pic:pic>
              </a:graphicData>
            </a:graphic>
          </wp:inline>
        </w:drawing>
      </w:r>
    </w:p>
    <w:p w:rsidR="00187D42" w:rsidRDefault="00187D42" w:rsidP="00660242">
      <w:pPr>
        <w:pStyle w:val="a5"/>
        <w:jc w:val="both"/>
        <w:rPr>
          <w:rFonts w:ascii="Times New Roman" w:hAnsi="Times New Roman" w:cs="Times New Roman"/>
          <w:i w:val="0"/>
          <w:color w:val="auto"/>
          <w:sz w:val="20"/>
        </w:rPr>
      </w:pPr>
      <w:bookmarkStart w:id="1" w:name="_Ref156917307"/>
      <w:r w:rsidRPr="0086545B">
        <w:rPr>
          <w:rFonts w:ascii="Times New Roman" w:hAnsi="Times New Roman" w:cs="Times New Roman"/>
          <w:b/>
          <w:i w:val="0"/>
          <w:color w:val="auto"/>
          <w:sz w:val="20"/>
        </w:rPr>
        <w:t>Fig</w:t>
      </w:r>
      <w:r>
        <w:rPr>
          <w:rFonts w:ascii="Times New Roman" w:hAnsi="Times New Roman" w:cs="Times New Roman"/>
          <w:b/>
          <w:i w:val="0"/>
          <w:color w:val="auto"/>
          <w:sz w:val="20"/>
        </w:rPr>
        <w:t>.</w:t>
      </w:r>
      <w:r w:rsidRPr="0086545B">
        <w:rPr>
          <w:rFonts w:ascii="Times New Roman" w:hAnsi="Times New Roman" w:cs="Times New Roman"/>
          <w:b/>
          <w:i w:val="0"/>
          <w:color w:val="auto"/>
          <w:sz w:val="20"/>
        </w:rPr>
        <w:t xml:space="preserve"> </w:t>
      </w:r>
      <w:r w:rsidR="009476CB">
        <w:rPr>
          <w:rFonts w:ascii="Times New Roman" w:hAnsi="Times New Roman" w:cs="Times New Roman"/>
          <w:b/>
          <w:i w:val="0"/>
          <w:color w:val="auto"/>
          <w:sz w:val="20"/>
        </w:rPr>
        <w:t>S1</w:t>
      </w:r>
      <w:bookmarkEnd w:id="1"/>
      <w:r w:rsidRPr="0086545B">
        <w:rPr>
          <w:color w:val="auto"/>
          <w:sz w:val="20"/>
        </w:rPr>
        <w:t xml:space="preserve"> </w:t>
      </w:r>
      <w:r w:rsidRPr="00B33614">
        <w:rPr>
          <w:rFonts w:ascii="Times New Roman" w:hAnsi="Times New Roman" w:cs="Times New Roman"/>
          <w:i w:val="0"/>
          <w:color w:val="auto"/>
          <w:sz w:val="20"/>
        </w:rPr>
        <w:t xml:space="preserve">Estimated marginal means of relative increment in basal area for the crown archetypes. </w:t>
      </w:r>
      <w:r w:rsidR="000B5E6C">
        <w:rPr>
          <w:rFonts w:ascii="Times New Roman" w:hAnsi="Times New Roman" w:cs="Times New Roman"/>
          <w:i w:val="0"/>
          <w:iCs w:val="0"/>
          <w:color w:val="auto"/>
          <w:sz w:val="20"/>
          <w:szCs w:val="20"/>
        </w:rPr>
        <w:t>The bars indicate the 95</w:t>
      </w:r>
      <w:r w:rsidRPr="00B33614">
        <w:rPr>
          <w:rFonts w:ascii="Times New Roman" w:hAnsi="Times New Roman" w:cs="Times New Roman"/>
          <w:i w:val="0"/>
          <w:iCs w:val="0"/>
          <w:color w:val="auto"/>
          <w:sz w:val="20"/>
          <w:szCs w:val="20"/>
        </w:rPr>
        <w:t>% confidence intervals.</w:t>
      </w:r>
      <w:r w:rsidRPr="00B33614">
        <w:rPr>
          <w:rFonts w:ascii="Times New Roman" w:hAnsi="Times New Roman" w:cs="Times New Roman"/>
          <w:iCs w:val="0"/>
          <w:color w:val="auto"/>
          <w:sz w:val="20"/>
          <w:szCs w:val="20"/>
        </w:rPr>
        <w:t xml:space="preserve"> </w:t>
      </w:r>
      <w:r w:rsidRPr="00B33614">
        <w:rPr>
          <w:rFonts w:ascii="Times New Roman" w:hAnsi="Times New Roman" w:cs="Times New Roman"/>
          <w:i w:val="0"/>
          <w:color w:val="auto"/>
          <w:sz w:val="20"/>
        </w:rPr>
        <w:t xml:space="preserve"> Different letters indicate a significant differen</w:t>
      </w:r>
      <w:r w:rsidR="000B5E6C">
        <w:rPr>
          <w:rFonts w:ascii="Times New Roman" w:hAnsi="Times New Roman" w:cs="Times New Roman"/>
          <w:i w:val="0"/>
          <w:color w:val="auto"/>
          <w:sz w:val="20"/>
        </w:rPr>
        <w:t>ce based on an alpha-level of 5</w:t>
      </w:r>
      <w:r w:rsidRPr="00B33614">
        <w:rPr>
          <w:rFonts w:ascii="Times New Roman" w:hAnsi="Times New Roman" w:cs="Times New Roman"/>
          <w:i w:val="0"/>
          <w:color w:val="auto"/>
          <w:sz w:val="20"/>
        </w:rPr>
        <w:t>%.</w:t>
      </w:r>
    </w:p>
    <w:p w:rsidR="009476CB" w:rsidRPr="009476CB" w:rsidRDefault="009476CB" w:rsidP="009476CB"/>
    <w:p w:rsidR="00187D42" w:rsidRDefault="00187D42" w:rsidP="00660242">
      <w:pPr>
        <w:keepNext/>
        <w:jc w:val="center"/>
      </w:pPr>
      <w:r w:rsidRPr="001C4D8C">
        <w:rPr>
          <w:rFonts w:ascii="Times New Roman" w:eastAsia="Calibri" w:hAnsi="Times New Roman" w:cs="Times New Roman"/>
          <w:noProof/>
          <w:lang w:val="en-US" w:eastAsia="zh-CN"/>
        </w:rPr>
        <w:drawing>
          <wp:inline distT="0" distB="0" distL="0" distR="0" wp14:anchorId="7F576601" wp14:editId="56F11ED6">
            <wp:extent cx="5760720" cy="2372061"/>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760720" cy="2372061"/>
                    </a:xfrm>
                    <a:prstGeom prst="rect">
                      <a:avLst/>
                    </a:prstGeom>
                    <a:noFill/>
                    <a:ln>
                      <a:noFill/>
                    </a:ln>
                  </pic:spPr>
                </pic:pic>
              </a:graphicData>
            </a:graphic>
          </wp:inline>
        </w:drawing>
      </w:r>
    </w:p>
    <w:p w:rsidR="00187D42" w:rsidRPr="0086545B" w:rsidRDefault="00187D42" w:rsidP="00660242">
      <w:pPr>
        <w:pStyle w:val="a5"/>
        <w:jc w:val="both"/>
        <w:rPr>
          <w:rFonts w:ascii="Times New Roman" w:hAnsi="Times New Roman" w:cs="Times New Roman"/>
        </w:rPr>
      </w:pPr>
      <w:bookmarkStart w:id="2" w:name="_Ref156917338"/>
      <w:r w:rsidRPr="0086545B">
        <w:rPr>
          <w:rFonts w:ascii="Times New Roman" w:hAnsi="Times New Roman" w:cs="Times New Roman"/>
          <w:b/>
          <w:i w:val="0"/>
          <w:color w:val="auto"/>
          <w:sz w:val="20"/>
        </w:rPr>
        <w:t>Fig</w:t>
      </w:r>
      <w:r>
        <w:rPr>
          <w:rFonts w:ascii="Times New Roman" w:hAnsi="Times New Roman" w:cs="Times New Roman"/>
          <w:b/>
          <w:i w:val="0"/>
          <w:color w:val="auto"/>
          <w:sz w:val="20"/>
        </w:rPr>
        <w:t>.</w:t>
      </w:r>
      <w:r w:rsidRPr="0086545B">
        <w:rPr>
          <w:rFonts w:ascii="Times New Roman" w:hAnsi="Times New Roman" w:cs="Times New Roman"/>
          <w:b/>
          <w:i w:val="0"/>
          <w:color w:val="auto"/>
          <w:sz w:val="20"/>
        </w:rPr>
        <w:t xml:space="preserve"> </w:t>
      </w:r>
      <w:r w:rsidR="009476CB" w:rsidRPr="00F759F1">
        <w:rPr>
          <w:rFonts w:ascii="Times New Roman" w:hAnsi="Times New Roman" w:cs="Times New Roman"/>
          <w:b/>
          <w:i w:val="0"/>
          <w:color w:val="auto"/>
          <w:sz w:val="20"/>
        </w:rPr>
        <w:t>S2</w:t>
      </w:r>
      <w:bookmarkEnd w:id="2"/>
      <w:r w:rsidRPr="00F759F1">
        <w:rPr>
          <w:rFonts w:ascii="Times New Roman" w:hAnsi="Times New Roman" w:cs="Times New Roman"/>
          <w:i w:val="0"/>
          <w:color w:val="auto"/>
          <w:sz w:val="22"/>
        </w:rPr>
        <w:t xml:space="preserve"> </w:t>
      </w:r>
      <w:r w:rsidRPr="00F759F1">
        <w:rPr>
          <w:rFonts w:ascii="Times New Roman" w:hAnsi="Times New Roman" w:cs="Times New Roman"/>
          <w:b/>
          <w:i w:val="0"/>
          <w:color w:val="auto"/>
          <w:sz w:val="20"/>
        </w:rPr>
        <w:t>(</w:t>
      </w:r>
      <w:r w:rsidRPr="00B33614">
        <w:rPr>
          <w:rFonts w:ascii="Times New Roman" w:hAnsi="Times New Roman" w:cs="Times New Roman"/>
          <w:b/>
          <w:i w:val="0"/>
          <w:color w:val="auto"/>
          <w:sz w:val="20"/>
        </w:rPr>
        <w:t>a)</w:t>
      </w:r>
      <w:r w:rsidRPr="00B33614">
        <w:rPr>
          <w:rFonts w:ascii="Times New Roman" w:hAnsi="Times New Roman" w:cs="Times New Roman"/>
          <w:i w:val="0"/>
          <w:color w:val="auto"/>
          <w:sz w:val="20"/>
        </w:rPr>
        <w:t xml:space="preserve"> Measured and estimated relative increment in basal area against the SPEI12</w:t>
      </w:r>
      <w:r w:rsidRPr="00B33614">
        <w:rPr>
          <w:rFonts w:ascii="Times New Roman" w:hAnsi="Times New Roman" w:cs="Times New Roman"/>
          <w:i w:val="0"/>
          <w:color w:val="auto"/>
          <w:sz w:val="20"/>
          <w:vertAlign w:val="subscript"/>
        </w:rPr>
        <w:t>MJJ</w:t>
      </w:r>
      <w:r w:rsidRPr="00B33614">
        <w:rPr>
          <w:rFonts w:ascii="Times New Roman" w:hAnsi="Times New Roman" w:cs="Times New Roman"/>
          <w:i w:val="0"/>
          <w:color w:val="auto"/>
          <w:sz w:val="20"/>
        </w:rPr>
        <w:t xml:space="preserve"> values between 2015 and 2022 by crown archetype. The shaded areas represent 95% confidence intervals. </w:t>
      </w:r>
      <w:r w:rsidRPr="00B33614">
        <w:rPr>
          <w:rFonts w:ascii="Times New Roman" w:hAnsi="Times New Roman" w:cs="Times New Roman"/>
          <w:b/>
          <w:i w:val="0"/>
          <w:color w:val="auto"/>
          <w:sz w:val="20"/>
        </w:rPr>
        <w:t>(b)</w:t>
      </w:r>
      <w:r w:rsidRPr="00B33614">
        <w:rPr>
          <w:rFonts w:ascii="Times New Roman" w:hAnsi="Times New Roman" w:cs="Times New Roman"/>
          <w:i w:val="0"/>
          <w:color w:val="auto"/>
          <w:sz w:val="20"/>
        </w:rPr>
        <w:t xml:space="preserve"> Modelled slope values per crown archet</w:t>
      </w:r>
      <w:r w:rsidR="000B5E6C">
        <w:rPr>
          <w:rFonts w:ascii="Times New Roman" w:hAnsi="Times New Roman" w:cs="Times New Roman"/>
          <w:i w:val="0"/>
          <w:color w:val="auto"/>
          <w:sz w:val="20"/>
        </w:rPr>
        <w:t>ype with bars indicating the 95</w:t>
      </w:r>
      <w:r w:rsidRPr="00B33614">
        <w:rPr>
          <w:rFonts w:ascii="Times New Roman" w:hAnsi="Times New Roman" w:cs="Times New Roman"/>
          <w:i w:val="0"/>
          <w:color w:val="auto"/>
          <w:sz w:val="20"/>
        </w:rPr>
        <w:t>% confidence intervals and brackets indicating whether the difference between them is significant (s) or not (</w:t>
      </w:r>
      <w:proofErr w:type="spellStart"/>
      <w:r w:rsidRPr="00B33614">
        <w:rPr>
          <w:rFonts w:ascii="Times New Roman" w:hAnsi="Times New Roman" w:cs="Times New Roman"/>
          <w:i w:val="0"/>
          <w:color w:val="auto"/>
          <w:sz w:val="20"/>
        </w:rPr>
        <w:t>n.s</w:t>
      </w:r>
      <w:proofErr w:type="spellEnd"/>
      <w:r w:rsidRPr="00B33614">
        <w:rPr>
          <w:rFonts w:ascii="Times New Roman" w:hAnsi="Times New Roman" w:cs="Times New Roman"/>
          <w:i w:val="0"/>
          <w:color w:val="auto"/>
          <w:sz w:val="20"/>
        </w:rPr>
        <w:t>.).</w:t>
      </w:r>
    </w:p>
    <w:p w:rsidR="00187D42" w:rsidRDefault="00187D42" w:rsidP="00187D42">
      <w:pPr>
        <w:pStyle w:val="a5"/>
        <w:jc w:val="both"/>
        <w:rPr>
          <w:rFonts w:ascii="Times New Roman" w:hAnsi="Times New Roman" w:cs="Times New Roman"/>
          <w:i w:val="0"/>
          <w:color w:val="auto"/>
        </w:rPr>
      </w:pPr>
      <w:r w:rsidRPr="00A5489D" w:rsidDel="00A5489D">
        <w:rPr>
          <w:rFonts w:ascii="Times New Roman" w:hAnsi="Times New Roman" w:cs="Times New Roman"/>
          <w:b/>
          <w:color w:val="auto"/>
        </w:rPr>
        <w:t xml:space="preserve"> </w:t>
      </w:r>
    </w:p>
    <w:p w:rsidR="00187D42" w:rsidRPr="000B5E6C" w:rsidRDefault="000B5E6C" w:rsidP="00660242">
      <w:pPr>
        <w:keepNext/>
        <w:jc w:val="center"/>
      </w:pPr>
      <w:r>
        <w:rPr>
          <w:noProof/>
          <w:lang w:val="en-US" w:eastAsia="zh-CN"/>
        </w:rPr>
        <w:lastRenderedPageBreak/>
        <w:drawing>
          <wp:inline distT="0" distB="0" distL="0" distR="0">
            <wp:extent cx="3693600" cy="330480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S3_SupplementaryMateri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93600" cy="3304800"/>
                    </a:xfrm>
                    <a:prstGeom prst="rect">
                      <a:avLst/>
                    </a:prstGeom>
                  </pic:spPr>
                </pic:pic>
              </a:graphicData>
            </a:graphic>
          </wp:inline>
        </w:drawing>
      </w:r>
    </w:p>
    <w:p w:rsidR="00187D42" w:rsidRDefault="00187D42" w:rsidP="00660242">
      <w:pPr>
        <w:pStyle w:val="a5"/>
        <w:jc w:val="both"/>
        <w:rPr>
          <w:rFonts w:ascii="Times New Roman" w:hAnsi="Times New Roman" w:cs="Times New Roman"/>
          <w:i w:val="0"/>
          <w:color w:val="auto"/>
          <w:sz w:val="20"/>
        </w:rPr>
      </w:pPr>
      <w:bookmarkStart w:id="3" w:name="_Ref156917356"/>
      <w:r w:rsidRPr="0086545B">
        <w:rPr>
          <w:rFonts w:ascii="Times New Roman" w:hAnsi="Times New Roman" w:cs="Times New Roman"/>
          <w:b/>
          <w:i w:val="0"/>
          <w:color w:val="auto"/>
          <w:sz w:val="20"/>
        </w:rPr>
        <w:t>Fig</w:t>
      </w:r>
      <w:r>
        <w:rPr>
          <w:rFonts w:ascii="Times New Roman" w:hAnsi="Times New Roman" w:cs="Times New Roman"/>
          <w:b/>
          <w:i w:val="0"/>
          <w:color w:val="auto"/>
          <w:sz w:val="20"/>
        </w:rPr>
        <w:t>.</w:t>
      </w:r>
      <w:r w:rsidRPr="0086545B">
        <w:rPr>
          <w:rFonts w:ascii="Times New Roman" w:hAnsi="Times New Roman" w:cs="Times New Roman"/>
          <w:b/>
          <w:i w:val="0"/>
          <w:color w:val="auto"/>
          <w:sz w:val="20"/>
        </w:rPr>
        <w:t xml:space="preserve"> </w:t>
      </w:r>
      <w:bookmarkEnd w:id="3"/>
      <w:r w:rsidR="009476CB">
        <w:rPr>
          <w:rFonts w:ascii="Times New Roman" w:hAnsi="Times New Roman" w:cs="Times New Roman"/>
          <w:b/>
          <w:i w:val="0"/>
          <w:color w:val="auto"/>
          <w:sz w:val="20"/>
        </w:rPr>
        <w:t xml:space="preserve">S3 </w:t>
      </w:r>
      <w:r w:rsidRPr="0086545B">
        <w:rPr>
          <w:rFonts w:ascii="Times New Roman" w:hAnsi="Times New Roman" w:cs="Times New Roman"/>
          <w:i w:val="0"/>
          <w:color w:val="auto"/>
          <w:sz w:val="20"/>
        </w:rPr>
        <w:t xml:space="preserve">Effect plot for the complex model estimating tree-ring width based on the </w:t>
      </w:r>
      <w:proofErr w:type="spellStart"/>
      <w:r w:rsidRPr="0086545B">
        <w:rPr>
          <w:rFonts w:ascii="Times New Roman" w:hAnsi="Times New Roman" w:cs="Times New Roman"/>
          <w:i w:val="0"/>
          <w:color w:val="auto"/>
          <w:sz w:val="20"/>
        </w:rPr>
        <w:t>dbh</w:t>
      </w:r>
      <w:proofErr w:type="spellEnd"/>
      <w:r w:rsidRPr="0086545B">
        <w:rPr>
          <w:rFonts w:ascii="Times New Roman" w:hAnsi="Times New Roman" w:cs="Times New Roman"/>
          <w:i w:val="0"/>
          <w:color w:val="auto"/>
          <w:sz w:val="20"/>
        </w:rPr>
        <w:t xml:space="preserve">, environmental impacts as well as the branch architectural variables </w:t>
      </w:r>
      <w:proofErr w:type="spellStart"/>
      <w:r w:rsidRPr="0086545B">
        <w:rPr>
          <w:rFonts w:ascii="Times New Roman" w:hAnsi="Times New Roman" w:cs="Times New Roman"/>
          <w:i w:val="0"/>
          <w:color w:val="auto"/>
          <w:sz w:val="20"/>
        </w:rPr>
        <w:t>cpl</w:t>
      </w:r>
      <w:proofErr w:type="spellEnd"/>
      <w:r w:rsidRPr="0086545B">
        <w:rPr>
          <w:rFonts w:ascii="Times New Roman" w:hAnsi="Times New Roman" w:cs="Times New Roman"/>
          <w:i w:val="0"/>
          <w:color w:val="auto"/>
          <w:sz w:val="20"/>
        </w:rPr>
        <w:t xml:space="preserve"> and </w:t>
      </w:r>
      <w:proofErr w:type="spellStart"/>
      <w:r w:rsidRPr="0086545B">
        <w:rPr>
          <w:rFonts w:ascii="Times New Roman" w:hAnsi="Times New Roman" w:cs="Times New Roman"/>
          <w:i w:val="0"/>
          <w:color w:val="auto"/>
          <w:sz w:val="20"/>
        </w:rPr>
        <w:t>nn</w:t>
      </w:r>
      <w:proofErr w:type="spellEnd"/>
      <w:r w:rsidRPr="0086545B">
        <w:rPr>
          <w:rFonts w:ascii="Times New Roman" w:hAnsi="Times New Roman" w:cs="Times New Roman"/>
          <w:i w:val="0"/>
          <w:color w:val="auto"/>
          <w:sz w:val="20"/>
        </w:rPr>
        <w:t xml:space="preserve">. The relationship between </w:t>
      </w:r>
      <w:proofErr w:type="spellStart"/>
      <w:r w:rsidRPr="0086545B">
        <w:rPr>
          <w:rFonts w:ascii="Times New Roman" w:hAnsi="Times New Roman" w:cs="Times New Roman"/>
          <w:i w:val="0"/>
          <w:color w:val="auto"/>
          <w:sz w:val="20"/>
        </w:rPr>
        <w:t>nn</w:t>
      </w:r>
      <w:proofErr w:type="spellEnd"/>
      <w:r w:rsidRPr="0086545B">
        <w:rPr>
          <w:rFonts w:ascii="Times New Roman" w:hAnsi="Times New Roman" w:cs="Times New Roman"/>
          <w:i w:val="0"/>
          <w:color w:val="auto"/>
          <w:sz w:val="20"/>
        </w:rPr>
        <w:t xml:space="preserve"> and the response is presented for different levels of </w:t>
      </w:r>
      <w:proofErr w:type="spellStart"/>
      <w:r w:rsidRPr="0086545B">
        <w:rPr>
          <w:rFonts w:ascii="Times New Roman" w:hAnsi="Times New Roman" w:cs="Times New Roman"/>
          <w:i w:val="0"/>
          <w:color w:val="auto"/>
          <w:sz w:val="20"/>
        </w:rPr>
        <w:t>cpl.</w:t>
      </w:r>
      <w:proofErr w:type="spellEnd"/>
      <w:r w:rsidRPr="0086545B">
        <w:rPr>
          <w:rFonts w:ascii="Times New Roman" w:hAnsi="Times New Roman" w:cs="Times New Roman"/>
          <w:i w:val="0"/>
          <w:color w:val="auto"/>
          <w:sz w:val="20"/>
        </w:rPr>
        <w:t xml:space="preserve"> </w:t>
      </w:r>
      <w:bookmarkStart w:id="4" w:name="_Hlk156813693"/>
      <w:r w:rsidRPr="0086545B">
        <w:rPr>
          <w:rFonts w:ascii="Times New Roman" w:hAnsi="Times New Roman" w:cs="Times New Roman"/>
          <w:i w:val="0"/>
          <w:color w:val="auto"/>
          <w:sz w:val="20"/>
        </w:rPr>
        <w:t>The shaded areas represent 95% confidence intervals.</w:t>
      </w:r>
      <w:bookmarkEnd w:id="4"/>
    </w:p>
    <w:p w:rsidR="003F188E" w:rsidRPr="003F188E" w:rsidRDefault="003F188E" w:rsidP="003F188E"/>
    <w:p w:rsidR="00D41F56" w:rsidRDefault="00D41F56" w:rsidP="00D41F56">
      <w:pPr>
        <w:keepNext/>
        <w:spacing w:after="0" w:line="276" w:lineRule="auto"/>
        <w:jc w:val="both"/>
      </w:pPr>
      <w:r>
        <w:rPr>
          <w:noProof/>
          <w:lang w:val="en-US" w:eastAsia="zh-CN"/>
        </w:rPr>
        <w:drawing>
          <wp:inline distT="0" distB="0" distL="0" distR="0" wp14:anchorId="39E3A945" wp14:editId="6DE19C0C">
            <wp:extent cx="5747698" cy="2066081"/>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t="16155" b="15452"/>
                    <a:stretch/>
                  </pic:blipFill>
                  <pic:spPr bwMode="auto">
                    <a:xfrm>
                      <a:off x="0" y="0"/>
                      <a:ext cx="5794436" cy="2082881"/>
                    </a:xfrm>
                    <a:prstGeom prst="rect">
                      <a:avLst/>
                    </a:prstGeom>
                    <a:noFill/>
                    <a:ln>
                      <a:noFill/>
                    </a:ln>
                    <a:extLst>
                      <a:ext uri="{53640926-AAD7-44D8-BBD7-CCE9431645EC}">
                        <a14:shadowObscured xmlns:a14="http://schemas.microsoft.com/office/drawing/2010/main"/>
                      </a:ext>
                    </a:extLst>
                  </pic:spPr>
                </pic:pic>
              </a:graphicData>
            </a:graphic>
          </wp:inline>
        </w:drawing>
      </w:r>
    </w:p>
    <w:p w:rsidR="00D41F56" w:rsidRPr="003F188E" w:rsidRDefault="00D41F56" w:rsidP="003F188E">
      <w:pPr>
        <w:pStyle w:val="a5"/>
        <w:jc w:val="both"/>
        <w:rPr>
          <w:rFonts w:ascii="Times New Roman" w:hAnsi="Times New Roman" w:cs="Times New Roman"/>
          <w:sz w:val="22"/>
          <w:szCs w:val="20"/>
          <w:lang w:val="en-US"/>
        </w:rPr>
      </w:pPr>
      <w:bookmarkStart w:id="5" w:name="_Ref171522257"/>
      <w:r w:rsidRPr="00AA71F8">
        <w:rPr>
          <w:rFonts w:ascii="Times New Roman" w:hAnsi="Times New Roman" w:cs="Times New Roman"/>
          <w:b/>
          <w:i w:val="0"/>
          <w:color w:val="auto"/>
          <w:sz w:val="20"/>
        </w:rPr>
        <w:t xml:space="preserve">Fig. </w:t>
      </w:r>
      <w:bookmarkEnd w:id="5"/>
      <w:r w:rsidR="003F188E">
        <w:rPr>
          <w:rFonts w:ascii="Times New Roman" w:hAnsi="Times New Roman" w:cs="Times New Roman"/>
          <w:b/>
          <w:i w:val="0"/>
          <w:color w:val="auto"/>
          <w:sz w:val="20"/>
        </w:rPr>
        <w:t>S4</w:t>
      </w:r>
      <w:r>
        <w:rPr>
          <w:rFonts w:ascii="Times New Roman" w:hAnsi="Times New Roman" w:cs="Times New Roman"/>
          <w:i w:val="0"/>
          <w:color w:val="auto"/>
          <w:sz w:val="20"/>
        </w:rPr>
        <w:t xml:space="preserve"> Diagnostic</w:t>
      </w:r>
      <w:r w:rsidRPr="00AA71F8">
        <w:rPr>
          <w:rFonts w:ascii="Times New Roman" w:hAnsi="Times New Roman" w:cs="Times New Roman"/>
          <w:i w:val="0"/>
          <w:color w:val="auto"/>
          <w:sz w:val="20"/>
        </w:rPr>
        <w:t xml:space="preserve"> plots for the complex mode</w:t>
      </w:r>
      <w:r>
        <w:rPr>
          <w:rFonts w:ascii="Times New Roman" w:hAnsi="Times New Roman" w:cs="Times New Roman"/>
          <w:i w:val="0"/>
          <w:color w:val="auto"/>
          <w:sz w:val="20"/>
        </w:rPr>
        <w:t>l</w:t>
      </w:r>
      <w:r w:rsidRPr="0026181F">
        <w:rPr>
          <w:rFonts w:ascii="Times New Roman" w:hAnsi="Times New Roman" w:cs="Times New Roman"/>
          <w:i w:val="0"/>
          <w:color w:val="auto"/>
          <w:sz w:val="20"/>
        </w:rPr>
        <w:t>, estimating tree-ring widths based on the</w:t>
      </w:r>
      <w:r w:rsidRPr="00E26CD7">
        <w:rPr>
          <w:rFonts w:ascii="Times New Roman" w:hAnsi="Times New Roman" w:cs="Times New Roman"/>
          <w:i w:val="0"/>
          <w:color w:val="auto"/>
          <w:sz w:val="20"/>
        </w:rPr>
        <w:t xml:space="preserve"> </w:t>
      </w:r>
      <w:proofErr w:type="spellStart"/>
      <w:r w:rsidRPr="00E26CD7">
        <w:rPr>
          <w:rFonts w:ascii="Times New Roman" w:hAnsi="Times New Roman" w:cs="Times New Roman"/>
          <w:i w:val="0"/>
          <w:color w:val="auto"/>
          <w:sz w:val="20"/>
        </w:rPr>
        <w:t>dbh</w:t>
      </w:r>
      <w:proofErr w:type="spellEnd"/>
      <w:r w:rsidRPr="00E26CD7">
        <w:rPr>
          <w:rFonts w:ascii="Times New Roman" w:hAnsi="Times New Roman" w:cs="Times New Roman"/>
          <w:i w:val="0"/>
          <w:color w:val="auto"/>
          <w:sz w:val="20"/>
        </w:rPr>
        <w:t xml:space="preserve">, environmental impacts as well as branch architectural variables </w:t>
      </w:r>
      <w:proofErr w:type="spellStart"/>
      <w:r w:rsidRPr="00E26CD7">
        <w:rPr>
          <w:rFonts w:ascii="Times New Roman" w:hAnsi="Times New Roman" w:cs="Times New Roman"/>
          <w:i w:val="0"/>
          <w:color w:val="auto"/>
          <w:sz w:val="20"/>
        </w:rPr>
        <w:t>cpl</w:t>
      </w:r>
      <w:proofErr w:type="spellEnd"/>
      <w:r w:rsidRPr="00E26CD7">
        <w:rPr>
          <w:rFonts w:ascii="Times New Roman" w:hAnsi="Times New Roman" w:cs="Times New Roman"/>
          <w:i w:val="0"/>
          <w:color w:val="auto"/>
          <w:sz w:val="20"/>
        </w:rPr>
        <w:t xml:space="preserve"> and </w:t>
      </w:r>
      <w:proofErr w:type="spellStart"/>
      <w:r w:rsidRPr="00E26CD7">
        <w:rPr>
          <w:rFonts w:ascii="Times New Roman" w:hAnsi="Times New Roman" w:cs="Times New Roman"/>
          <w:i w:val="0"/>
          <w:color w:val="auto"/>
          <w:sz w:val="20"/>
        </w:rPr>
        <w:t>nn</w:t>
      </w:r>
      <w:proofErr w:type="spellEnd"/>
      <w:r w:rsidRPr="00E26CD7">
        <w:rPr>
          <w:rFonts w:ascii="Times New Roman" w:hAnsi="Times New Roman" w:cs="Times New Roman"/>
          <w:i w:val="0"/>
          <w:color w:val="auto"/>
          <w:sz w:val="20"/>
        </w:rPr>
        <w:t>.</w:t>
      </w:r>
      <w:r w:rsidR="003F188E" w:rsidRPr="00E26CD7">
        <w:rPr>
          <w:rFonts w:ascii="Times New Roman" w:hAnsi="Times New Roman" w:cs="Times New Roman"/>
          <w:i w:val="0"/>
          <w:color w:val="auto"/>
          <w:sz w:val="20"/>
        </w:rPr>
        <w:t xml:space="preserve"> </w:t>
      </w:r>
      <w:r w:rsidR="003F188E" w:rsidRPr="003F188E">
        <w:rPr>
          <w:rFonts w:ascii="Times New Roman" w:hAnsi="Times New Roman" w:cs="Times New Roman"/>
          <w:b/>
          <w:i w:val="0"/>
          <w:color w:val="auto"/>
          <w:sz w:val="20"/>
        </w:rPr>
        <w:t>(a)</w:t>
      </w:r>
      <w:r w:rsidR="003F188E">
        <w:rPr>
          <w:rFonts w:ascii="Times New Roman" w:hAnsi="Times New Roman" w:cs="Times New Roman"/>
          <w:i w:val="0"/>
          <w:color w:val="auto"/>
          <w:sz w:val="20"/>
        </w:rPr>
        <w:t xml:space="preserve"> Conditional studentized residuals against predicted values. </w:t>
      </w:r>
      <w:r w:rsidR="003F188E" w:rsidRPr="003F188E">
        <w:rPr>
          <w:rFonts w:ascii="Times New Roman" w:hAnsi="Times New Roman" w:cs="Times New Roman"/>
          <w:b/>
          <w:i w:val="0"/>
          <w:color w:val="auto"/>
          <w:sz w:val="20"/>
        </w:rPr>
        <w:t>(b)</w:t>
      </w:r>
      <w:r w:rsidR="003F188E">
        <w:rPr>
          <w:rFonts w:ascii="Times New Roman" w:hAnsi="Times New Roman" w:cs="Times New Roman"/>
          <w:i w:val="0"/>
          <w:color w:val="auto"/>
          <w:sz w:val="20"/>
        </w:rPr>
        <w:t xml:space="preserve"> Raw conditional residuals against normal quantiles. </w:t>
      </w:r>
      <w:r w:rsidR="003F188E" w:rsidRPr="003F188E">
        <w:rPr>
          <w:rFonts w:ascii="Times New Roman" w:hAnsi="Times New Roman" w:cs="Times New Roman"/>
          <w:b/>
          <w:i w:val="0"/>
          <w:color w:val="auto"/>
          <w:sz w:val="20"/>
        </w:rPr>
        <w:t>(c)</w:t>
      </w:r>
      <w:r w:rsidR="003F188E">
        <w:rPr>
          <w:rFonts w:ascii="Times New Roman" w:hAnsi="Times New Roman" w:cs="Times New Roman"/>
          <w:i w:val="0"/>
          <w:color w:val="auto"/>
          <w:sz w:val="20"/>
        </w:rPr>
        <w:t xml:space="preserve"> Observed values against predicted values.</w:t>
      </w:r>
    </w:p>
    <w:p w:rsidR="009476CB" w:rsidRDefault="009476CB" w:rsidP="009476CB"/>
    <w:p w:rsidR="00660242" w:rsidRDefault="00660242" w:rsidP="009476CB"/>
    <w:p w:rsidR="00660242" w:rsidRDefault="00660242" w:rsidP="009476CB"/>
    <w:p w:rsidR="00660242" w:rsidRDefault="00660242" w:rsidP="009476CB"/>
    <w:p w:rsidR="00660242" w:rsidRDefault="00660242" w:rsidP="009476CB"/>
    <w:p w:rsidR="00660242" w:rsidRDefault="00660242" w:rsidP="009476CB"/>
    <w:p w:rsidR="00660242" w:rsidRPr="009476CB" w:rsidRDefault="00660242" w:rsidP="009476CB"/>
    <w:p w:rsidR="00187D42" w:rsidRPr="00B33614" w:rsidRDefault="00187D42" w:rsidP="00187D42">
      <w:pPr>
        <w:pStyle w:val="a5"/>
        <w:keepNext/>
        <w:jc w:val="both"/>
        <w:rPr>
          <w:rFonts w:ascii="Times New Roman" w:hAnsi="Times New Roman" w:cs="Times New Roman"/>
          <w:i w:val="0"/>
          <w:color w:val="auto"/>
          <w:sz w:val="20"/>
        </w:rPr>
      </w:pPr>
      <w:r w:rsidRPr="00B33614">
        <w:rPr>
          <w:rFonts w:ascii="Times New Roman" w:hAnsi="Times New Roman" w:cs="Times New Roman"/>
          <w:b/>
          <w:i w:val="0"/>
          <w:color w:val="auto"/>
          <w:sz w:val="20"/>
        </w:rPr>
        <w:lastRenderedPageBreak/>
        <w:t>Tab</w:t>
      </w:r>
      <w:r w:rsidR="009476CB">
        <w:rPr>
          <w:rFonts w:ascii="Times New Roman" w:hAnsi="Times New Roman" w:cs="Times New Roman"/>
          <w:b/>
          <w:i w:val="0"/>
          <w:color w:val="auto"/>
          <w:sz w:val="20"/>
        </w:rPr>
        <w:t xml:space="preserve">le S2 </w:t>
      </w:r>
      <w:r w:rsidRPr="00B33614">
        <w:rPr>
          <w:rFonts w:ascii="Times New Roman" w:hAnsi="Times New Roman" w:cs="Times New Roman"/>
          <w:i w:val="0"/>
          <w:color w:val="auto"/>
          <w:sz w:val="20"/>
        </w:rPr>
        <w:t xml:space="preserve">Output of the complex model estimating relative increment in basal area based on environmental impacts as well as branch architectural variables </w:t>
      </w:r>
      <w:proofErr w:type="spellStart"/>
      <w:r w:rsidRPr="0001115D">
        <w:rPr>
          <w:rFonts w:ascii="Times New Roman" w:hAnsi="Times New Roman" w:cs="Times New Roman"/>
          <w:i w:val="0"/>
          <w:color w:val="auto"/>
          <w:sz w:val="20"/>
        </w:rPr>
        <w:t>cpl</w:t>
      </w:r>
      <w:proofErr w:type="spellEnd"/>
      <w:r w:rsidRPr="0001115D">
        <w:rPr>
          <w:rFonts w:ascii="Times New Roman" w:hAnsi="Times New Roman" w:cs="Times New Roman"/>
          <w:i w:val="0"/>
          <w:color w:val="auto"/>
          <w:sz w:val="20"/>
        </w:rPr>
        <w:t xml:space="preserve"> and </w:t>
      </w:r>
      <w:proofErr w:type="spellStart"/>
      <w:r w:rsidRPr="0001115D">
        <w:rPr>
          <w:rFonts w:ascii="Times New Roman" w:hAnsi="Times New Roman" w:cs="Times New Roman"/>
          <w:i w:val="0"/>
          <w:color w:val="auto"/>
          <w:sz w:val="20"/>
        </w:rPr>
        <w:t>nn</w:t>
      </w:r>
      <w:proofErr w:type="spellEnd"/>
      <w:r w:rsidRPr="0001115D">
        <w:rPr>
          <w:rFonts w:ascii="Times New Roman" w:hAnsi="Times New Roman" w:cs="Times New Roman"/>
          <w:i w:val="0"/>
          <w:color w:val="auto"/>
          <w:sz w:val="20"/>
        </w:rPr>
        <w:t>.</w:t>
      </w:r>
      <w:r w:rsidRPr="00B33614">
        <w:rPr>
          <w:rFonts w:ascii="Times New Roman" w:hAnsi="Times New Roman" w:cs="Times New Roman"/>
          <w:i w:val="0"/>
          <w:color w:val="auto"/>
          <w:sz w:val="20"/>
        </w:rPr>
        <w:t xml:space="preserve"> All continuous predictors were scaled prior to modelling. Fructification and frost were entered as dummy variables, where the intercept represents absence of the respective event.</w:t>
      </w: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126"/>
        <w:gridCol w:w="2126"/>
        <w:gridCol w:w="284"/>
        <w:gridCol w:w="1832"/>
      </w:tblGrid>
      <w:tr w:rsidR="00187D42" w:rsidRPr="00A4493D" w:rsidTr="00214BED">
        <w:tc>
          <w:tcPr>
            <w:tcW w:w="2694" w:type="dxa"/>
            <w:tcBorders>
              <w:top w:val="single" w:sz="8" w:space="0" w:color="auto"/>
              <w:bottom w:val="single" w:sz="4" w:space="0" w:color="auto"/>
            </w:tcBorders>
          </w:tcPr>
          <w:p w:rsidR="00187D42" w:rsidRPr="00A4493D" w:rsidRDefault="00187D42" w:rsidP="00D80732">
            <w:pPr>
              <w:keepNext/>
              <w:rPr>
                <w:rFonts w:ascii="Times New Roman" w:eastAsia="Calibri" w:hAnsi="Times New Roman" w:cs="Times New Roman"/>
                <w:b/>
                <w:sz w:val="20"/>
                <w:szCs w:val="20"/>
              </w:rPr>
            </w:pPr>
            <w:r w:rsidRPr="00A4493D">
              <w:rPr>
                <w:rFonts w:ascii="Times New Roman" w:eastAsia="Calibri" w:hAnsi="Times New Roman" w:cs="Times New Roman"/>
                <w:b/>
                <w:sz w:val="20"/>
                <w:szCs w:val="20"/>
              </w:rPr>
              <w:t>Predictor</w:t>
            </w:r>
          </w:p>
        </w:tc>
        <w:tc>
          <w:tcPr>
            <w:tcW w:w="2126" w:type="dxa"/>
            <w:tcBorders>
              <w:top w:val="single" w:sz="8" w:space="0" w:color="auto"/>
              <w:bottom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Estimate</w:t>
            </w:r>
          </w:p>
        </w:tc>
        <w:tc>
          <w:tcPr>
            <w:tcW w:w="2410" w:type="dxa"/>
            <w:gridSpan w:val="2"/>
            <w:tcBorders>
              <w:top w:val="single" w:sz="8" w:space="0" w:color="auto"/>
              <w:bottom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Confidence Interval (95%)</w:t>
            </w:r>
          </w:p>
        </w:tc>
        <w:tc>
          <w:tcPr>
            <w:tcW w:w="1832" w:type="dxa"/>
            <w:tcBorders>
              <w:top w:val="single" w:sz="8" w:space="0" w:color="auto"/>
              <w:bottom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214BED">
              <w:rPr>
                <w:rFonts w:ascii="Times New Roman" w:eastAsia="Calibri" w:hAnsi="Times New Roman" w:cs="Times New Roman"/>
                <w:b/>
                <w:i/>
                <w:sz w:val="20"/>
                <w:szCs w:val="20"/>
              </w:rPr>
              <w:t>p</w:t>
            </w:r>
            <w:r w:rsidRPr="00A4493D">
              <w:rPr>
                <w:rFonts w:ascii="Times New Roman" w:eastAsia="Calibri" w:hAnsi="Times New Roman" w:cs="Times New Roman"/>
                <w:b/>
                <w:sz w:val="20"/>
                <w:szCs w:val="20"/>
              </w:rPr>
              <w:t>-value (ANOVA)</w:t>
            </w:r>
          </w:p>
        </w:tc>
      </w:tr>
      <w:tr w:rsidR="00187D42" w:rsidRPr="00A4493D" w:rsidTr="00214BED">
        <w:tc>
          <w:tcPr>
            <w:tcW w:w="2694" w:type="dxa"/>
            <w:tcBorders>
              <w:top w:val="single" w:sz="4" w:space="0" w:color="auto"/>
              <w:bottom w:val="single" w:sz="4" w:space="0" w:color="auto"/>
            </w:tcBorders>
          </w:tcPr>
          <w:p w:rsidR="00187D42" w:rsidRPr="00214BED" w:rsidRDefault="00187D42"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(Intercept)</w:t>
            </w:r>
          </w:p>
        </w:tc>
        <w:tc>
          <w:tcPr>
            <w:tcW w:w="2126" w:type="dxa"/>
            <w:tcBorders>
              <w:top w:val="single" w:sz="4" w:space="0" w:color="auto"/>
              <w:bottom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0.0311</w:t>
            </w:r>
          </w:p>
        </w:tc>
        <w:tc>
          <w:tcPr>
            <w:tcW w:w="2410" w:type="dxa"/>
            <w:gridSpan w:val="2"/>
            <w:tcBorders>
              <w:top w:val="single" w:sz="4" w:space="0" w:color="auto"/>
              <w:bottom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0.0290 – 0.0333</w:t>
            </w:r>
          </w:p>
        </w:tc>
        <w:tc>
          <w:tcPr>
            <w:tcW w:w="1832" w:type="dxa"/>
            <w:tcBorders>
              <w:top w:val="single" w:sz="4" w:space="0" w:color="auto"/>
              <w:bottom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&lt;0.001</w:t>
            </w:r>
          </w:p>
        </w:tc>
      </w:tr>
      <w:tr w:rsidR="00187D42" w:rsidRPr="00A4493D" w:rsidTr="00214BED">
        <w:tc>
          <w:tcPr>
            <w:tcW w:w="2694" w:type="dxa"/>
            <w:tcBorders>
              <w:top w:val="single" w:sz="4" w:space="0" w:color="auto"/>
            </w:tcBorders>
          </w:tcPr>
          <w:p w:rsidR="00187D42" w:rsidRPr="00214BED" w:rsidRDefault="00187D42"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SPEI12</w:t>
            </w:r>
            <w:r w:rsidRPr="00214BED">
              <w:rPr>
                <w:rFonts w:ascii="Times New Roman" w:eastAsia="Calibri" w:hAnsi="Times New Roman" w:cs="Times New Roman"/>
                <w:sz w:val="20"/>
                <w:szCs w:val="20"/>
                <w:vertAlign w:val="subscript"/>
              </w:rPr>
              <w:t>MJJ</w:t>
            </w:r>
          </w:p>
        </w:tc>
        <w:tc>
          <w:tcPr>
            <w:tcW w:w="2126" w:type="dxa"/>
            <w:tcBorders>
              <w:top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0.0045</w:t>
            </w:r>
          </w:p>
        </w:tc>
        <w:tc>
          <w:tcPr>
            <w:tcW w:w="2410" w:type="dxa"/>
            <w:gridSpan w:val="2"/>
            <w:tcBorders>
              <w:top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0.0038 – 0.0051</w:t>
            </w:r>
          </w:p>
        </w:tc>
        <w:tc>
          <w:tcPr>
            <w:tcW w:w="1832" w:type="dxa"/>
            <w:tcBorders>
              <w:top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&lt;0.001</w:t>
            </w:r>
          </w:p>
        </w:tc>
      </w:tr>
      <w:tr w:rsidR="00187D42" w:rsidRPr="00A4493D" w:rsidTr="00214BED">
        <w:tc>
          <w:tcPr>
            <w:tcW w:w="2694" w:type="dxa"/>
          </w:tcPr>
          <w:p w:rsidR="00187D42" w:rsidRPr="00214BED" w:rsidRDefault="00214BED"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Fructification</w:t>
            </w:r>
          </w:p>
        </w:tc>
        <w:tc>
          <w:tcPr>
            <w:tcW w:w="2126" w:type="dxa"/>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0.0014</w:t>
            </w:r>
          </w:p>
        </w:tc>
        <w:tc>
          <w:tcPr>
            <w:tcW w:w="2410" w:type="dxa"/>
            <w:gridSpan w:val="2"/>
          </w:tcPr>
          <w:p w:rsidR="00187D42" w:rsidRPr="00A4493D" w:rsidRDefault="00214BED" w:rsidP="00214BED">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 xml:space="preserve">0.0027 </w:t>
            </w:r>
            <w:r>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0.0002</w:t>
            </w:r>
          </w:p>
        </w:tc>
        <w:tc>
          <w:tcPr>
            <w:tcW w:w="1832" w:type="dxa"/>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0.030</w:t>
            </w:r>
          </w:p>
        </w:tc>
      </w:tr>
      <w:tr w:rsidR="00187D42" w:rsidRPr="00A4493D" w:rsidTr="00214BED">
        <w:tc>
          <w:tcPr>
            <w:tcW w:w="2694" w:type="dxa"/>
          </w:tcPr>
          <w:p w:rsidR="00187D42" w:rsidRPr="00214BED" w:rsidRDefault="00214BED"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Frost</w:t>
            </w:r>
          </w:p>
        </w:tc>
        <w:tc>
          <w:tcPr>
            <w:tcW w:w="2126" w:type="dxa"/>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0.0043</w:t>
            </w:r>
          </w:p>
        </w:tc>
        <w:tc>
          <w:tcPr>
            <w:tcW w:w="2410" w:type="dxa"/>
            <w:gridSpan w:val="2"/>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 xml:space="preserve">0.0057 </w:t>
            </w:r>
            <w:r>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0.0028</w:t>
            </w:r>
          </w:p>
        </w:tc>
        <w:tc>
          <w:tcPr>
            <w:tcW w:w="1832" w:type="dxa"/>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&lt;0.001</w:t>
            </w:r>
          </w:p>
        </w:tc>
      </w:tr>
      <w:tr w:rsidR="00187D42" w:rsidRPr="00A4493D" w:rsidTr="00214BED">
        <w:tc>
          <w:tcPr>
            <w:tcW w:w="2694" w:type="dxa"/>
            <w:tcBorders>
              <w:bottom w:val="single" w:sz="4" w:space="0" w:color="auto"/>
            </w:tcBorders>
          </w:tcPr>
          <w:p w:rsidR="00187D42" w:rsidRPr="00214BED" w:rsidRDefault="00187D42"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SPEI12</w:t>
            </w:r>
            <w:r w:rsidRPr="00214BED">
              <w:rPr>
                <w:rFonts w:ascii="Times New Roman" w:eastAsia="Calibri" w:hAnsi="Times New Roman" w:cs="Times New Roman"/>
                <w:sz w:val="20"/>
                <w:szCs w:val="20"/>
                <w:vertAlign w:val="subscript"/>
              </w:rPr>
              <w:t>MJJ</w:t>
            </w:r>
            <w:r w:rsidRPr="00214BED">
              <w:rPr>
                <w:rFonts w:ascii="Times New Roman" w:eastAsia="Calibri" w:hAnsi="Times New Roman" w:cs="Times New Roman"/>
                <w:sz w:val="20"/>
                <w:szCs w:val="20"/>
              </w:rPr>
              <w:t xml:space="preserve"> </w:t>
            </w:r>
            <w:r w:rsidR="00214BED" w:rsidRPr="00214BED">
              <w:rPr>
                <w:rFonts w:ascii="Times New Roman" w:hAnsi="Times New Roman" w:cs="Times New Roman"/>
                <w:sz w:val="20"/>
                <w:szCs w:val="20"/>
                <w:lang w:eastAsia="zh-CN"/>
              </w:rPr>
              <w:t>×</w:t>
            </w:r>
            <w:r w:rsidRPr="00214BED">
              <w:rPr>
                <w:rFonts w:ascii="Times New Roman" w:eastAsia="Calibri" w:hAnsi="Times New Roman" w:cs="Times New Roman"/>
                <w:sz w:val="20"/>
                <w:szCs w:val="20"/>
              </w:rPr>
              <w:t xml:space="preserve"> </w:t>
            </w:r>
            <w:r w:rsidR="00214BED" w:rsidRPr="00214BED">
              <w:rPr>
                <w:rFonts w:ascii="Times New Roman" w:eastAsia="Calibri" w:hAnsi="Times New Roman" w:cs="Times New Roman"/>
                <w:sz w:val="20"/>
                <w:szCs w:val="20"/>
              </w:rPr>
              <w:t>F</w:t>
            </w:r>
            <w:r w:rsidRPr="00214BED">
              <w:rPr>
                <w:rFonts w:ascii="Times New Roman" w:eastAsia="Calibri" w:hAnsi="Times New Roman" w:cs="Times New Roman"/>
                <w:sz w:val="20"/>
                <w:szCs w:val="20"/>
              </w:rPr>
              <w:t>ructification</w:t>
            </w:r>
          </w:p>
        </w:tc>
        <w:tc>
          <w:tcPr>
            <w:tcW w:w="2126" w:type="dxa"/>
            <w:tcBorders>
              <w:bottom w:val="single" w:sz="4" w:space="0" w:color="auto"/>
            </w:tcBorders>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0.0021</w:t>
            </w:r>
          </w:p>
        </w:tc>
        <w:tc>
          <w:tcPr>
            <w:tcW w:w="2410" w:type="dxa"/>
            <w:gridSpan w:val="2"/>
            <w:tcBorders>
              <w:bottom w:val="single" w:sz="4" w:space="0" w:color="auto"/>
            </w:tcBorders>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 xml:space="preserve">0.0040 </w:t>
            </w:r>
            <w:r>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0.0001</w:t>
            </w:r>
          </w:p>
        </w:tc>
        <w:tc>
          <w:tcPr>
            <w:tcW w:w="1832" w:type="dxa"/>
            <w:tcBorders>
              <w:bottom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0.038</w:t>
            </w:r>
          </w:p>
        </w:tc>
      </w:tr>
      <w:tr w:rsidR="00187D42" w:rsidRPr="00A4493D" w:rsidTr="00214BED">
        <w:tc>
          <w:tcPr>
            <w:tcW w:w="2694" w:type="dxa"/>
            <w:tcBorders>
              <w:top w:val="single" w:sz="4" w:space="0" w:color="auto"/>
            </w:tcBorders>
          </w:tcPr>
          <w:p w:rsidR="00187D42" w:rsidRPr="00214BED" w:rsidRDefault="00187D42" w:rsidP="00D80732">
            <w:pPr>
              <w:keepNext/>
              <w:rPr>
                <w:rFonts w:ascii="Times New Roman" w:eastAsia="Calibri" w:hAnsi="Times New Roman" w:cs="Times New Roman"/>
                <w:sz w:val="20"/>
                <w:szCs w:val="20"/>
              </w:rPr>
            </w:pPr>
            <w:proofErr w:type="spellStart"/>
            <w:r w:rsidRPr="00214BED">
              <w:rPr>
                <w:rFonts w:ascii="Times New Roman" w:eastAsia="Calibri" w:hAnsi="Times New Roman" w:cs="Times New Roman"/>
                <w:sz w:val="20"/>
                <w:szCs w:val="20"/>
              </w:rPr>
              <w:t>cpl</w:t>
            </w:r>
            <w:proofErr w:type="spellEnd"/>
          </w:p>
        </w:tc>
        <w:tc>
          <w:tcPr>
            <w:tcW w:w="2126" w:type="dxa"/>
            <w:tcBorders>
              <w:top w:val="single" w:sz="4" w:space="0" w:color="auto"/>
            </w:tcBorders>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0.0003</w:t>
            </w:r>
          </w:p>
        </w:tc>
        <w:tc>
          <w:tcPr>
            <w:tcW w:w="2410" w:type="dxa"/>
            <w:gridSpan w:val="2"/>
            <w:tcBorders>
              <w:top w:val="single" w:sz="4" w:space="0" w:color="auto"/>
            </w:tcBorders>
          </w:tcPr>
          <w:p w:rsidR="00187D42" w:rsidRPr="00A4493D" w:rsidRDefault="00214BED"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r w:rsidR="00187D42" w:rsidRPr="00A4493D">
              <w:rPr>
                <w:rFonts w:ascii="Times New Roman" w:eastAsia="Calibri" w:hAnsi="Times New Roman" w:cs="Times New Roman"/>
                <w:sz w:val="20"/>
                <w:szCs w:val="20"/>
              </w:rPr>
              <w:t>0.0030 – 0.0024</w:t>
            </w:r>
          </w:p>
        </w:tc>
        <w:tc>
          <w:tcPr>
            <w:tcW w:w="1832" w:type="dxa"/>
            <w:tcBorders>
              <w:top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0.842</w:t>
            </w:r>
          </w:p>
        </w:tc>
      </w:tr>
      <w:tr w:rsidR="00187D42" w:rsidRPr="00A4493D" w:rsidTr="00214BED">
        <w:tc>
          <w:tcPr>
            <w:tcW w:w="2694" w:type="dxa"/>
          </w:tcPr>
          <w:p w:rsidR="00187D42" w:rsidRPr="00214BED" w:rsidRDefault="00187D42" w:rsidP="00D80732">
            <w:pPr>
              <w:keepNext/>
              <w:rPr>
                <w:rFonts w:ascii="Times New Roman" w:eastAsia="Calibri" w:hAnsi="Times New Roman" w:cs="Times New Roman"/>
                <w:sz w:val="20"/>
                <w:szCs w:val="20"/>
              </w:rPr>
            </w:pPr>
            <w:proofErr w:type="spellStart"/>
            <w:r w:rsidRPr="00214BED">
              <w:rPr>
                <w:rFonts w:ascii="Times New Roman" w:eastAsia="Calibri" w:hAnsi="Times New Roman" w:cs="Times New Roman"/>
                <w:sz w:val="20"/>
                <w:szCs w:val="20"/>
              </w:rPr>
              <w:t>nn</w:t>
            </w:r>
            <w:proofErr w:type="spellEnd"/>
          </w:p>
        </w:tc>
        <w:tc>
          <w:tcPr>
            <w:tcW w:w="2126" w:type="dxa"/>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0.0050</w:t>
            </w:r>
          </w:p>
        </w:tc>
        <w:tc>
          <w:tcPr>
            <w:tcW w:w="2410" w:type="dxa"/>
            <w:gridSpan w:val="2"/>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0.0020 – 0.0080</w:t>
            </w:r>
          </w:p>
        </w:tc>
        <w:tc>
          <w:tcPr>
            <w:tcW w:w="1832" w:type="dxa"/>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0.002</w:t>
            </w:r>
          </w:p>
        </w:tc>
      </w:tr>
      <w:tr w:rsidR="00187D42" w:rsidRPr="00A4493D" w:rsidTr="00214BED">
        <w:tc>
          <w:tcPr>
            <w:tcW w:w="2694" w:type="dxa"/>
            <w:tcBorders>
              <w:bottom w:val="single" w:sz="4" w:space="0" w:color="auto"/>
            </w:tcBorders>
          </w:tcPr>
          <w:p w:rsidR="00187D42" w:rsidRPr="00214BED" w:rsidRDefault="00214BED" w:rsidP="00D80732">
            <w:pPr>
              <w:keepNext/>
              <w:rPr>
                <w:rFonts w:ascii="Times New Roman" w:eastAsia="Calibri" w:hAnsi="Times New Roman" w:cs="Times New Roman"/>
                <w:sz w:val="20"/>
                <w:szCs w:val="20"/>
              </w:rPr>
            </w:pPr>
            <w:proofErr w:type="spellStart"/>
            <w:r>
              <w:rPr>
                <w:rFonts w:ascii="Times New Roman" w:eastAsia="Calibri" w:hAnsi="Times New Roman" w:cs="Times New Roman"/>
                <w:sz w:val="20"/>
                <w:szCs w:val="20"/>
              </w:rPr>
              <w:t>cpl</w:t>
            </w:r>
            <w:proofErr w:type="spellEnd"/>
            <w:r w:rsidRPr="00214BED">
              <w:rPr>
                <w:rFonts w:ascii="Times New Roman" w:eastAsia="Calibri" w:hAnsi="Times New Roman" w:cs="Times New Roman"/>
                <w:sz w:val="20"/>
                <w:szCs w:val="20"/>
              </w:rPr>
              <w:t xml:space="preserve"> </w:t>
            </w:r>
            <w:r w:rsidRPr="00214BED">
              <w:rPr>
                <w:rFonts w:ascii="Times New Roman" w:hAnsi="Times New Roman" w:cs="Times New Roman"/>
                <w:sz w:val="20"/>
                <w:szCs w:val="20"/>
                <w:lang w:eastAsia="zh-CN"/>
              </w:rPr>
              <w:t>×</w:t>
            </w:r>
            <w:r w:rsidR="00187D42" w:rsidRPr="00214BED">
              <w:rPr>
                <w:rFonts w:ascii="Times New Roman" w:eastAsia="Calibri" w:hAnsi="Times New Roman" w:cs="Times New Roman"/>
                <w:sz w:val="20"/>
                <w:szCs w:val="20"/>
              </w:rPr>
              <w:t xml:space="preserve"> </w:t>
            </w:r>
            <w:proofErr w:type="spellStart"/>
            <w:r w:rsidR="00187D42" w:rsidRPr="00214BED">
              <w:rPr>
                <w:rFonts w:ascii="Times New Roman" w:eastAsia="Calibri" w:hAnsi="Times New Roman" w:cs="Times New Roman"/>
                <w:sz w:val="20"/>
                <w:szCs w:val="20"/>
              </w:rPr>
              <w:t>nn</w:t>
            </w:r>
            <w:proofErr w:type="spellEnd"/>
            <w:r w:rsidR="00187D42" w:rsidRPr="00214BED">
              <w:rPr>
                <w:rFonts w:ascii="Times New Roman" w:eastAsia="Calibri" w:hAnsi="Times New Roman" w:cs="Times New Roman"/>
                <w:sz w:val="20"/>
                <w:szCs w:val="20"/>
              </w:rPr>
              <w:t xml:space="preserve"> </w:t>
            </w:r>
          </w:p>
        </w:tc>
        <w:tc>
          <w:tcPr>
            <w:tcW w:w="2126" w:type="dxa"/>
            <w:tcBorders>
              <w:bottom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0.0017</w:t>
            </w:r>
          </w:p>
        </w:tc>
        <w:tc>
          <w:tcPr>
            <w:tcW w:w="2410" w:type="dxa"/>
            <w:gridSpan w:val="2"/>
            <w:tcBorders>
              <w:bottom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0.0008 – 0.0027</w:t>
            </w:r>
          </w:p>
        </w:tc>
        <w:tc>
          <w:tcPr>
            <w:tcW w:w="1832" w:type="dxa"/>
            <w:tcBorders>
              <w:bottom w:val="single" w:sz="4" w:space="0" w:color="auto"/>
            </w:tcBorders>
          </w:tcPr>
          <w:p w:rsidR="00187D42" w:rsidRPr="00A4493D" w:rsidRDefault="00187D42" w:rsidP="00D80732">
            <w:pPr>
              <w:keepNext/>
              <w:jc w:val="right"/>
              <w:rPr>
                <w:rFonts w:ascii="Times New Roman" w:eastAsia="Calibri" w:hAnsi="Times New Roman" w:cs="Times New Roman"/>
                <w:b/>
                <w:sz w:val="20"/>
                <w:szCs w:val="20"/>
              </w:rPr>
            </w:pPr>
            <w:r w:rsidRPr="00A4493D">
              <w:rPr>
                <w:rFonts w:ascii="Times New Roman" w:eastAsia="Calibri" w:hAnsi="Times New Roman" w:cs="Times New Roman"/>
                <w:b/>
                <w:sz w:val="20"/>
                <w:szCs w:val="20"/>
              </w:rPr>
              <w:t>&lt;0.001</w:t>
            </w:r>
          </w:p>
        </w:tc>
      </w:tr>
      <w:tr w:rsidR="00187D42" w:rsidRPr="00A4493D" w:rsidTr="00D80732">
        <w:trPr>
          <w:trHeight w:val="142"/>
        </w:trPr>
        <w:tc>
          <w:tcPr>
            <w:tcW w:w="2694" w:type="dxa"/>
            <w:tcBorders>
              <w:top w:val="single" w:sz="4" w:space="0" w:color="auto"/>
            </w:tcBorders>
          </w:tcPr>
          <w:p w:rsidR="00187D42" w:rsidRPr="00214BED" w:rsidRDefault="00187D42"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 xml:space="preserve">Marginal </w:t>
            </w:r>
            <w:r w:rsidRPr="00214BED">
              <w:rPr>
                <w:rFonts w:ascii="Times New Roman" w:eastAsia="Calibri" w:hAnsi="Times New Roman" w:cs="Times New Roman"/>
                <w:i/>
                <w:sz w:val="20"/>
                <w:szCs w:val="20"/>
              </w:rPr>
              <w:t>R</w:t>
            </w:r>
            <w:r w:rsidRPr="00214BED">
              <w:rPr>
                <w:rFonts w:ascii="Times New Roman" w:eastAsia="Calibri" w:hAnsi="Times New Roman" w:cs="Times New Roman"/>
                <w:sz w:val="20"/>
                <w:szCs w:val="20"/>
                <w:vertAlign w:val="superscript"/>
              </w:rPr>
              <w:t>2</w:t>
            </w:r>
          </w:p>
        </w:tc>
        <w:tc>
          <w:tcPr>
            <w:tcW w:w="2126" w:type="dxa"/>
            <w:tcBorders>
              <w:top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0.26</w:t>
            </w:r>
          </w:p>
        </w:tc>
        <w:tc>
          <w:tcPr>
            <w:tcW w:w="2126" w:type="dxa"/>
            <w:tcBorders>
              <w:top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2116" w:type="dxa"/>
            <w:gridSpan w:val="2"/>
            <w:tcBorders>
              <w:top w:val="single" w:sz="4" w:space="0" w:color="auto"/>
            </w:tcBorders>
          </w:tcPr>
          <w:p w:rsidR="00187D42" w:rsidRPr="00A4493D" w:rsidRDefault="00187D42"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187D42" w:rsidRPr="00A4493D" w:rsidTr="000E4EB4">
        <w:trPr>
          <w:trHeight w:val="142"/>
        </w:trPr>
        <w:tc>
          <w:tcPr>
            <w:tcW w:w="2694" w:type="dxa"/>
            <w:tcBorders>
              <w:bottom w:val="single" w:sz="8" w:space="0" w:color="auto"/>
            </w:tcBorders>
          </w:tcPr>
          <w:p w:rsidR="00187D42" w:rsidRPr="00214BED" w:rsidRDefault="00187D42" w:rsidP="00D80732">
            <w:pPr>
              <w:keepNext/>
              <w:rPr>
                <w:rFonts w:ascii="Times New Roman" w:eastAsia="Calibri" w:hAnsi="Times New Roman" w:cs="Times New Roman"/>
                <w:sz w:val="20"/>
                <w:szCs w:val="20"/>
              </w:rPr>
            </w:pPr>
            <w:r w:rsidRPr="00214BED">
              <w:rPr>
                <w:rFonts w:ascii="Times New Roman" w:eastAsia="Calibri" w:hAnsi="Times New Roman" w:cs="Times New Roman"/>
                <w:sz w:val="20"/>
                <w:szCs w:val="20"/>
              </w:rPr>
              <w:t xml:space="preserve">Conditional </w:t>
            </w:r>
            <w:r w:rsidRPr="00214BED">
              <w:rPr>
                <w:rFonts w:ascii="Times New Roman" w:eastAsia="Calibri" w:hAnsi="Times New Roman" w:cs="Times New Roman"/>
                <w:i/>
                <w:sz w:val="20"/>
                <w:szCs w:val="20"/>
              </w:rPr>
              <w:t>R</w:t>
            </w:r>
            <w:r w:rsidRPr="00214BED">
              <w:rPr>
                <w:rFonts w:ascii="Times New Roman" w:eastAsia="Calibri" w:hAnsi="Times New Roman" w:cs="Times New Roman"/>
                <w:sz w:val="20"/>
                <w:szCs w:val="20"/>
                <w:vertAlign w:val="superscript"/>
              </w:rPr>
              <w:t>2</w:t>
            </w:r>
          </w:p>
        </w:tc>
        <w:tc>
          <w:tcPr>
            <w:tcW w:w="2126" w:type="dxa"/>
            <w:tcBorders>
              <w:bottom w:val="single" w:sz="8" w:space="0" w:color="auto"/>
            </w:tcBorders>
          </w:tcPr>
          <w:p w:rsidR="00187D42" w:rsidRPr="00A4493D" w:rsidRDefault="00187D42" w:rsidP="00D80732">
            <w:pPr>
              <w:keepNext/>
              <w:jc w:val="right"/>
              <w:rPr>
                <w:rFonts w:ascii="Times New Roman" w:eastAsia="Calibri" w:hAnsi="Times New Roman" w:cs="Times New Roman"/>
                <w:sz w:val="20"/>
                <w:szCs w:val="20"/>
              </w:rPr>
            </w:pPr>
            <w:r w:rsidRPr="00A4493D">
              <w:rPr>
                <w:rFonts w:ascii="Times New Roman" w:eastAsia="Calibri" w:hAnsi="Times New Roman" w:cs="Times New Roman"/>
                <w:sz w:val="20"/>
                <w:szCs w:val="20"/>
              </w:rPr>
              <w:t>0.68</w:t>
            </w:r>
          </w:p>
        </w:tc>
        <w:tc>
          <w:tcPr>
            <w:tcW w:w="2126" w:type="dxa"/>
            <w:tcBorders>
              <w:bottom w:val="single" w:sz="8" w:space="0" w:color="auto"/>
            </w:tcBorders>
          </w:tcPr>
          <w:p w:rsidR="00187D42" w:rsidRPr="00A4493D" w:rsidRDefault="00187D42"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2116" w:type="dxa"/>
            <w:gridSpan w:val="2"/>
            <w:tcBorders>
              <w:bottom w:val="single" w:sz="8" w:space="0" w:color="auto"/>
            </w:tcBorders>
          </w:tcPr>
          <w:p w:rsidR="00187D42" w:rsidRPr="00A4493D" w:rsidRDefault="00187D42" w:rsidP="00D80732">
            <w:pPr>
              <w:keepNext/>
              <w:jc w:val="right"/>
              <w:rPr>
                <w:rFonts w:ascii="Times New Roman" w:eastAsia="Calibri" w:hAnsi="Times New Roman" w:cs="Times New Roman"/>
                <w:sz w:val="20"/>
                <w:szCs w:val="20"/>
              </w:rPr>
            </w:pPr>
            <w:r>
              <w:rPr>
                <w:rFonts w:ascii="Times New Roman" w:eastAsia="Calibri" w:hAnsi="Times New Roman" w:cs="Times New Roman"/>
                <w:sz w:val="20"/>
                <w:szCs w:val="20"/>
              </w:rPr>
              <w:t>-</w:t>
            </w:r>
          </w:p>
        </w:tc>
      </w:tr>
    </w:tbl>
    <w:p w:rsidR="00187D42" w:rsidRPr="00D95E81" w:rsidRDefault="00187D42" w:rsidP="00187D42"/>
    <w:p w:rsidR="00187D42" w:rsidRPr="00B33614" w:rsidRDefault="00187D42" w:rsidP="00187D42">
      <w:pPr>
        <w:pStyle w:val="a5"/>
        <w:keepNext/>
        <w:jc w:val="both"/>
        <w:rPr>
          <w:rFonts w:ascii="Times New Roman" w:hAnsi="Times New Roman" w:cs="Times New Roman"/>
          <w:i w:val="0"/>
          <w:color w:val="auto"/>
          <w:sz w:val="20"/>
        </w:rPr>
      </w:pPr>
      <w:r w:rsidRPr="00B33614">
        <w:rPr>
          <w:rFonts w:ascii="Times New Roman" w:hAnsi="Times New Roman" w:cs="Times New Roman"/>
          <w:b/>
          <w:i w:val="0"/>
          <w:color w:val="auto"/>
          <w:sz w:val="20"/>
        </w:rPr>
        <w:t>Tab</w:t>
      </w:r>
      <w:r w:rsidR="009476CB">
        <w:rPr>
          <w:rFonts w:ascii="Times New Roman" w:hAnsi="Times New Roman" w:cs="Times New Roman"/>
          <w:b/>
          <w:i w:val="0"/>
          <w:color w:val="auto"/>
          <w:sz w:val="20"/>
        </w:rPr>
        <w:t xml:space="preserve">le S3 </w:t>
      </w:r>
      <w:r w:rsidRPr="00B33614">
        <w:rPr>
          <w:rFonts w:ascii="Times New Roman" w:hAnsi="Times New Roman" w:cs="Times New Roman"/>
          <w:i w:val="0"/>
          <w:color w:val="auto"/>
          <w:sz w:val="20"/>
        </w:rPr>
        <w:t>P-values of the (Welch-) ANOVA and</w:t>
      </w:r>
      <w:r w:rsidR="00660242">
        <w:rPr>
          <w:rFonts w:ascii="Times New Roman" w:hAnsi="Times New Roman" w:cs="Times New Roman"/>
          <w:i w:val="0"/>
          <w:color w:val="auto"/>
          <w:sz w:val="20"/>
        </w:rPr>
        <w:t xml:space="preserve"> estimated marginal means </w:t>
      </w:r>
      <w:r w:rsidRPr="00B33614">
        <w:rPr>
          <w:rFonts w:ascii="Times New Roman" w:hAnsi="Times New Roman" w:cs="Times New Roman"/>
          <w:i w:val="0"/>
          <w:color w:val="auto"/>
          <w:sz w:val="20"/>
        </w:rPr>
        <w:t xml:space="preserve">analysis for models in </w:t>
      </w:r>
      <w:r w:rsidRPr="00B33614">
        <w:rPr>
          <w:rFonts w:ascii="Times New Roman" w:hAnsi="Times New Roman" w:cs="Times New Roman"/>
          <w:i w:val="0"/>
          <w:color w:val="auto"/>
          <w:sz w:val="20"/>
        </w:rPr>
        <w:fldChar w:fldCharType="begin"/>
      </w:r>
      <w:r w:rsidRPr="00B33614">
        <w:rPr>
          <w:rFonts w:ascii="Times New Roman" w:hAnsi="Times New Roman" w:cs="Times New Roman"/>
          <w:i w:val="0"/>
          <w:color w:val="auto"/>
          <w:sz w:val="20"/>
        </w:rPr>
        <w:instrText xml:space="preserve"> REF _Ref148357070 \h  \* MERGEFORMAT </w:instrText>
      </w:r>
      <w:r w:rsidRPr="00B33614">
        <w:rPr>
          <w:rFonts w:ascii="Times New Roman" w:hAnsi="Times New Roman" w:cs="Times New Roman"/>
          <w:i w:val="0"/>
          <w:color w:val="auto"/>
          <w:sz w:val="20"/>
        </w:rPr>
      </w:r>
      <w:r w:rsidRPr="00B33614">
        <w:rPr>
          <w:rFonts w:ascii="Times New Roman" w:hAnsi="Times New Roman" w:cs="Times New Roman"/>
          <w:i w:val="0"/>
          <w:color w:val="auto"/>
          <w:sz w:val="20"/>
        </w:rPr>
        <w:fldChar w:fldCharType="separate"/>
      </w:r>
      <w:proofErr w:type="spellStart"/>
      <w:r w:rsidRPr="00B33614">
        <w:rPr>
          <w:rFonts w:ascii="Times New Roman" w:hAnsi="Times New Roman" w:cs="Times New Roman"/>
          <w:i w:val="0"/>
          <w:color w:val="auto"/>
          <w:sz w:val="20"/>
        </w:rPr>
        <w:t>Eq</w:t>
      </w:r>
      <w:r w:rsidR="002B2D08">
        <w:rPr>
          <w:rFonts w:ascii="Times New Roman" w:hAnsi="Times New Roman" w:cs="Times New Roman" w:hint="eastAsia"/>
          <w:i w:val="0"/>
          <w:color w:val="auto"/>
          <w:sz w:val="20"/>
          <w:lang w:eastAsia="zh-CN"/>
        </w:rPr>
        <w:t>s</w:t>
      </w:r>
      <w:proofErr w:type="spellEnd"/>
      <w:r w:rsidR="002B2D08">
        <w:rPr>
          <w:rFonts w:ascii="Times New Roman" w:hAnsi="Times New Roman" w:cs="Times New Roman"/>
          <w:i w:val="0"/>
          <w:color w:val="auto"/>
          <w:sz w:val="20"/>
        </w:rPr>
        <w:t>.</w:t>
      </w:r>
      <w:r w:rsidRPr="00B33614">
        <w:rPr>
          <w:rFonts w:ascii="Times New Roman" w:hAnsi="Times New Roman" w:cs="Times New Roman"/>
          <w:i w:val="0"/>
          <w:color w:val="auto"/>
          <w:sz w:val="20"/>
        </w:rPr>
        <w:t xml:space="preserve"> </w:t>
      </w:r>
      <w:r w:rsidRPr="00B33614">
        <w:rPr>
          <w:rFonts w:ascii="Times New Roman" w:hAnsi="Times New Roman" w:cs="Times New Roman"/>
          <w:i w:val="0"/>
          <w:noProof/>
          <w:color w:val="auto"/>
          <w:sz w:val="20"/>
        </w:rPr>
        <w:t>2</w:t>
      </w:r>
      <w:r w:rsidRPr="00B33614">
        <w:rPr>
          <w:rFonts w:ascii="Times New Roman" w:hAnsi="Times New Roman" w:cs="Times New Roman"/>
          <w:i w:val="0"/>
          <w:color w:val="auto"/>
          <w:sz w:val="20"/>
        </w:rPr>
        <w:fldChar w:fldCharType="end"/>
      </w:r>
      <w:r w:rsidRPr="00B33614">
        <w:rPr>
          <w:rFonts w:ascii="Times New Roman" w:hAnsi="Times New Roman" w:cs="Times New Roman"/>
          <w:i w:val="0"/>
          <w:color w:val="auto"/>
          <w:sz w:val="20"/>
        </w:rPr>
        <w:t xml:space="preserve"> and </w:t>
      </w:r>
      <w:r w:rsidRPr="00B33614">
        <w:rPr>
          <w:rFonts w:ascii="Times New Roman" w:hAnsi="Times New Roman" w:cs="Times New Roman"/>
          <w:i w:val="0"/>
          <w:color w:val="auto"/>
          <w:sz w:val="20"/>
        </w:rPr>
        <w:fldChar w:fldCharType="begin"/>
      </w:r>
      <w:r w:rsidRPr="00B33614">
        <w:rPr>
          <w:rFonts w:ascii="Times New Roman" w:hAnsi="Times New Roman" w:cs="Times New Roman"/>
          <w:i w:val="0"/>
          <w:color w:val="auto"/>
          <w:sz w:val="20"/>
        </w:rPr>
        <w:instrText xml:space="preserve"> REF _Ref150242630 \h  \* MERGEFORMAT </w:instrText>
      </w:r>
      <w:r w:rsidRPr="00B33614">
        <w:rPr>
          <w:rFonts w:ascii="Times New Roman" w:hAnsi="Times New Roman" w:cs="Times New Roman"/>
          <w:i w:val="0"/>
          <w:color w:val="auto"/>
          <w:sz w:val="20"/>
        </w:rPr>
      </w:r>
      <w:r w:rsidRPr="00B33614">
        <w:rPr>
          <w:rFonts w:ascii="Times New Roman" w:hAnsi="Times New Roman" w:cs="Times New Roman"/>
          <w:i w:val="0"/>
          <w:color w:val="auto"/>
          <w:sz w:val="20"/>
        </w:rPr>
        <w:fldChar w:fldCharType="separate"/>
      </w:r>
      <w:r w:rsidRPr="00B33614">
        <w:rPr>
          <w:rFonts w:ascii="Times New Roman" w:hAnsi="Times New Roman" w:cs="Times New Roman"/>
          <w:i w:val="0"/>
          <w:color w:val="auto"/>
          <w:sz w:val="20"/>
        </w:rPr>
        <w:t xml:space="preserve"> </w:t>
      </w:r>
      <w:r w:rsidRPr="00B33614">
        <w:rPr>
          <w:rFonts w:ascii="Times New Roman" w:hAnsi="Times New Roman" w:cs="Times New Roman"/>
          <w:i w:val="0"/>
          <w:noProof/>
          <w:color w:val="auto"/>
          <w:sz w:val="20"/>
        </w:rPr>
        <w:t>3</w:t>
      </w:r>
      <w:r w:rsidRPr="00B33614">
        <w:rPr>
          <w:rFonts w:ascii="Times New Roman" w:hAnsi="Times New Roman" w:cs="Times New Roman"/>
          <w:i w:val="0"/>
          <w:color w:val="auto"/>
          <w:sz w:val="20"/>
        </w:rPr>
        <w:fldChar w:fldCharType="end"/>
      </w:r>
      <w:r w:rsidRPr="00B33614">
        <w:rPr>
          <w:rFonts w:ascii="Times New Roman" w:hAnsi="Times New Roman" w:cs="Times New Roman"/>
          <w:i w:val="0"/>
          <w:color w:val="auto"/>
          <w:sz w:val="20"/>
        </w:rPr>
        <w:t>, testing the significance of predictors and the difference between the archetypes I, II and III, respectively.</w:t>
      </w:r>
    </w:p>
    <w:tbl>
      <w:tblPr>
        <w:tblStyle w:val="Tabellenraster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4"/>
        <w:gridCol w:w="1092"/>
        <w:gridCol w:w="1159"/>
        <w:gridCol w:w="1159"/>
        <w:gridCol w:w="1236"/>
        <w:gridCol w:w="1083"/>
        <w:gridCol w:w="1159"/>
        <w:gridCol w:w="1160"/>
      </w:tblGrid>
      <w:tr w:rsidR="00187D42" w:rsidRPr="00A4493D" w:rsidTr="000E4EB4">
        <w:tc>
          <w:tcPr>
            <w:tcW w:w="1024" w:type="dxa"/>
            <w:vMerge w:val="restart"/>
            <w:tcBorders>
              <w:top w:val="single" w:sz="8" w:space="0" w:color="auto"/>
            </w:tcBorders>
          </w:tcPr>
          <w:p w:rsidR="00187D42" w:rsidRPr="00A4493D" w:rsidRDefault="00187D42" w:rsidP="00D80732">
            <w:pPr>
              <w:jc w:val="center"/>
              <w:rPr>
                <w:rFonts w:ascii="Times New Roman" w:eastAsia="Calibri" w:hAnsi="Times New Roman" w:cs="Times New Roman"/>
                <w:b/>
                <w:sz w:val="20"/>
                <w:szCs w:val="20"/>
              </w:rPr>
            </w:pPr>
            <w:r w:rsidRPr="00A4493D">
              <w:rPr>
                <w:rFonts w:ascii="Times New Roman" w:eastAsia="Calibri" w:hAnsi="Times New Roman" w:cs="Times New Roman"/>
                <w:b/>
                <w:sz w:val="20"/>
                <w:szCs w:val="20"/>
              </w:rPr>
              <w:t>Model</w:t>
            </w:r>
          </w:p>
        </w:tc>
        <w:tc>
          <w:tcPr>
            <w:tcW w:w="1092" w:type="dxa"/>
            <w:vMerge w:val="restart"/>
            <w:tcBorders>
              <w:top w:val="single" w:sz="8" w:space="0" w:color="auto"/>
            </w:tcBorders>
          </w:tcPr>
          <w:p w:rsidR="00187D42" w:rsidRPr="00A4493D" w:rsidRDefault="00187D42" w:rsidP="00D80732">
            <w:pPr>
              <w:jc w:val="center"/>
              <w:rPr>
                <w:rFonts w:ascii="Times New Roman" w:eastAsia="Calibri" w:hAnsi="Times New Roman" w:cs="Times New Roman"/>
                <w:b/>
                <w:sz w:val="20"/>
                <w:szCs w:val="20"/>
              </w:rPr>
            </w:pPr>
            <w:r w:rsidRPr="00A4493D">
              <w:rPr>
                <w:rFonts w:ascii="Times New Roman" w:eastAsia="Calibri" w:hAnsi="Times New Roman" w:cs="Times New Roman"/>
                <w:b/>
                <w:sz w:val="20"/>
                <w:szCs w:val="20"/>
              </w:rPr>
              <w:t>Response variable</w:t>
            </w:r>
          </w:p>
        </w:tc>
        <w:tc>
          <w:tcPr>
            <w:tcW w:w="3554" w:type="dxa"/>
            <w:gridSpan w:val="3"/>
            <w:tcBorders>
              <w:top w:val="single" w:sz="8" w:space="0" w:color="auto"/>
              <w:bottom w:val="single" w:sz="4" w:space="0" w:color="auto"/>
            </w:tcBorders>
          </w:tcPr>
          <w:p w:rsidR="00187D42" w:rsidRPr="00A4493D" w:rsidRDefault="00187D42" w:rsidP="00D80732">
            <w:pPr>
              <w:jc w:val="center"/>
              <w:rPr>
                <w:rFonts w:ascii="Times New Roman" w:eastAsia="Calibri" w:hAnsi="Times New Roman" w:cs="Times New Roman"/>
                <w:b/>
                <w:sz w:val="20"/>
                <w:szCs w:val="20"/>
              </w:rPr>
            </w:pPr>
            <w:r w:rsidRPr="00A4493D">
              <w:rPr>
                <w:rFonts w:ascii="Times New Roman" w:eastAsia="Calibri" w:hAnsi="Times New Roman" w:cs="Times New Roman"/>
                <w:b/>
                <w:sz w:val="20"/>
                <w:szCs w:val="20"/>
              </w:rPr>
              <w:t>(Welch-) ANOVA</w:t>
            </w:r>
          </w:p>
        </w:tc>
        <w:tc>
          <w:tcPr>
            <w:tcW w:w="3402" w:type="dxa"/>
            <w:gridSpan w:val="3"/>
            <w:tcBorders>
              <w:top w:val="single" w:sz="8" w:space="0" w:color="auto"/>
              <w:bottom w:val="single" w:sz="4" w:space="0" w:color="auto"/>
            </w:tcBorders>
          </w:tcPr>
          <w:p w:rsidR="00187D42" w:rsidRPr="00A4493D" w:rsidRDefault="00187D42" w:rsidP="00D80732">
            <w:pPr>
              <w:jc w:val="center"/>
              <w:rPr>
                <w:rFonts w:ascii="Times New Roman" w:eastAsia="Calibri" w:hAnsi="Times New Roman" w:cs="Times New Roman"/>
                <w:b/>
                <w:sz w:val="20"/>
                <w:szCs w:val="20"/>
              </w:rPr>
            </w:pPr>
            <w:proofErr w:type="spellStart"/>
            <w:r w:rsidRPr="00A4493D">
              <w:rPr>
                <w:rFonts w:ascii="Times New Roman" w:eastAsia="Calibri" w:hAnsi="Times New Roman" w:cs="Times New Roman"/>
                <w:b/>
                <w:sz w:val="20"/>
                <w:szCs w:val="20"/>
              </w:rPr>
              <w:t>emmeans</w:t>
            </w:r>
            <w:proofErr w:type="spellEnd"/>
            <w:r w:rsidRPr="00A4493D">
              <w:rPr>
                <w:rFonts w:ascii="Times New Roman" w:eastAsia="Calibri" w:hAnsi="Times New Roman" w:cs="Times New Roman"/>
                <w:b/>
                <w:sz w:val="20"/>
                <w:szCs w:val="20"/>
              </w:rPr>
              <w:t>-analysis</w:t>
            </w:r>
          </w:p>
        </w:tc>
      </w:tr>
      <w:tr w:rsidR="00187D42" w:rsidTr="00D80732">
        <w:tc>
          <w:tcPr>
            <w:tcW w:w="1024" w:type="dxa"/>
            <w:vMerge/>
            <w:tcBorders>
              <w:bottom w:val="single" w:sz="2" w:space="0" w:color="auto"/>
            </w:tcBorders>
          </w:tcPr>
          <w:p w:rsidR="00187D42" w:rsidRPr="00A4493D" w:rsidRDefault="00187D42" w:rsidP="00D80732">
            <w:pPr>
              <w:rPr>
                <w:rFonts w:ascii="Times New Roman" w:eastAsia="Calibri" w:hAnsi="Times New Roman" w:cs="Times New Roman"/>
                <w:sz w:val="20"/>
                <w:szCs w:val="20"/>
              </w:rPr>
            </w:pPr>
          </w:p>
        </w:tc>
        <w:tc>
          <w:tcPr>
            <w:tcW w:w="1092" w:type="dxa"/>
            <w:tcBorders>
              <w:bottom w:val="single" w:sz="2" w:space="0" w:color="auto"/>
            </w:tcBorders>
          </w:tcPr>
          <w:p w:rsidR="00187D42" w:rsidRPr="00A4493D" w:rsidRDefault="00187D42" w:rsidP="00D80732">
            <w:pPr>
              <w:rPr>
                <w:rFonts w:ascii="Times New Roman" w:eastAsia="Calibri" w:hAnsi="Times New Roman" w:cs="Times New Roman"/>
                <w:sz w:val="20"/>
                <w:szCs w:val="20"/>
              </w:rPr>
            </w:pPr>
          </w:p>
        </w:tc>
        <w:tc>
          <w:tcPr>
            <w:tcW w:w="1159" w:type="dxa"/>
            <w:tcBorders>
              <w:top w:val="single" w:sz="4" w:space="0" w:color="auto"/>
              <w:bottom w:val="single" w:sz="2" w:space="0" w:color="auto"/>
            </w:tcBorders>
          </w:tcPr>
          <w:p w:rsidR="00187D42" w:rsidRPr="00AF7A44" w:rsidRDefault="00AF7A44" w:rsidP="00D80732">
            <w:pPr>
              <w:jc w:val="center"/>
              <w:rPr>
                <w:rFonts w:ascii="Times New Roman" w:eastAsia="Calibri" w:hAnsi="Times New Roman" w:cs="Times New Roman"/>
                <w:sz w:val="20"/>
                <w:szCs w:val="20"/>
              </w:rPr>
            </w:pPr>
            <w:r w:rsidRPr="00AF7A44">
              <w:rPr>
                <w:rFonts w:ascii="Times New Roman" w:eastAsia="Calibri" w:hAnsi="Times New Roman" w:cs="Times New Roman"/>
                <w:sz w:val="20"/>
                <w:szCs w:val="20"/>
              </w:rPr>
              <w:t>Archetype</w:t>
            </w:r>
          </w:p>
        </w:tc>
        <w:tc>
          <w:tcPr>
            <w:tcW w:w="1159" w:type="dxa"/>
            <w:tcBorders>
              <w:top w:val="single" w:sz="4" w:space="0" w:color="auto"/>
              <w:bottom w:val="single" w:sz="2" w:space="0" w:color="auto"/>
            </w:tcBorders>
          </w:tcPr>
          <w:p w:rsidR="00187D42" w:rsidRPr="00AF7A44" w:rsidRDefault="00187D42" w:rsidP="00D80732">
            <w:pPr>
              <w:jc w:val="center"/>
              <w:rPr>
                <w:rFonts w:ascii="Times New Roman" w:eastAsia="Calibri" w:hAnsi="Times New Roman" w:cs="Times New Roman"/>
                <w:sz w:val="20"/>
                <w:szCs w:val="20"/>
              </w:rPr>
            </w:pPr>
            <w:r w:rsidRPr="00AF7A44">
              <w:rPr>
                <w:rFonts w:ascii="Times New Roman" w:eastAsia="Calibri" w:hAnsi="Times New Roman" w:cs="Times New Roman"/>
                <w:sz w:val="20"/>
                <w:szCs w:val="20"/>
              </w:rPr>
              <w:t>SPEI12</w:t>
            </w:r>
            <w:r w:rsidRPr="00AF7A44">
              <w:rPr>
                <w:rFonts w:ascii="Times New Roman" w:eastAsia="Calibri" w:hAnsi="Times New Roman" w:cs="Times New Roman"/>
                <w:sz w:val="20"/>
                <w:szCs w:val="20"/>
                <w:vertAlign w:val="subscript"/>
              </w:rPr>
              <w:t>MJJ</w:t>
            </w:r>
          </w:p>
        </w:tc>
        <w:tc>
          <w:tcPr>
            <w:tcW w:w="1236" w:type="dxa"/>
            <w:tcBorders>
              <w:top w:val="single" w:sz="4" w:space="0" w:color="auto"/>
              <w:bottom w:val="single" w:sz="2" w:space="0" w:color="auto"/>
            </w:tcBorders>
          </w:tcPr>
          <w:p w:rsidR="00187D42" w:rsidRPr="00AF7A44" w:rsidRDefault="00187D42" w:rsidP="00D80732">
            <w:pPr>
              <w:jc w:val="center"/>
              <w:rPr>
                <w:rFonts w:ascii="Times New Roman" w:eastAsia="Calibri" w:hAnsi="Times New Roman" w:cs="Times New Roman"/>
                <w:sz w:val="20"/>
                <w:szCs w:val="20"/>
              </w:rPr>
            </w:pPr>
            <w:r w:rsidRPr="00AF7A44">
              <w:rPr>
                <w:rFonts w:ascii="Times New Roman" w:eastAsia="Calibri" w:hAnsi="Times New Roman" w:cs="Times New Roman"/>
                <w:sz w:val="20"/>
                <w:szCs w:val="20"/>
              </w:rPr>
              <w:t xml:space="preserve">Archetype </w:t>
            </w:r>
            <w:r w:rsidR="00AF7A44" w:rsidRPr="00AF7A44">
              <w:rPr>
                <w:rFonts w:ascii="Times New Roman" w:hAnsi="Times New Roman" w:cs="Times New Roman"/>
                <w:sz w:val="20"/>
                <w:szCs w:val="20"/>
                <w:lang w:eastAsia="zh-CN"/>
              </w:rPr>
              <w:t>×</w:t>
            </w:r>
            <w:r w:rsidRPr="00AF7A44">
              <w:rPr>
                <w:rFonts w:ascii="Times New Roman" w:eastAsia="Calibri" w:hAnsi="Times New Roman" w:cs="Times New Roman"/>
                <w:sz w:val="20"/>
                <w:szCs w:val="20"/>
              </w:rPr>
              <w:t xml:space="preserve"> SPEI12</w:t>
            </w:r>
            <w:r w:rsidRPr="00AF7A44">
              <w:rPr>
                <w:rFonts w:ascii="Times New Roman" w:eastAsia="Calibri" w:hAnsi="Times New Roman" w:cs="Times New Roman"/>
                <w:sz w:val="20"/>
                <w:szCs w:val="20"/>
                <w:vertAlign w:val="subscript"/>
              </w:rPr>
              <w:t>MJJ</w:t>
            </w:r>
          </w:p>
        </w:tc>
        <w:tc>
          <w:tcPr>
            <w:tcW w:w="1083" w:type="dxa"/>
            <w:tcBorders>
              <w:top w:val="single" w:sz="4" w:space="0" w:color="auto"/>
              <w:bottom w:val="single" w:sz="2" w:space="0" w:color="auto"/>
            </w:tcBorders>
          </w:tcPr>
          <w:p w:rsidR="00187D42" w:rsidRPr="00A4493D" w:rsidRDefault="00187D42" w:rsidP="00D80732">
            <w:pPr>
              <w:jc w:val="center"/>
              <w:rPr>
                <w:rFonts w:ascii="Times New Roman" w:eastAsia="Calibri" w:hAnsi="Times New Roman" w:cs="Times New Roman"/>
                <w:sz w:val="20"/>
                <w:szCs w:val="20"/>
              </w:rPr>
            </w:pPr>
            <w:r w:rsidRPr="00A4493D">
              <w:rPr>
                <w:rFonts w:ascii="Times New Roman" w:eastAsia="Calibri" w:hAnsi="Times New Roman" w:cs="Times New Roman"/>
                <w:sz w:val="20"/>
                <w:szCs w:val="20"/>
              </w:rPr>
              <w:t>I - II</w:t>
            </w:r>
          </w:p>
        </w:tc>
        <w:tc>
          <w:tcPr>
            <w:tcW w:w="1159" w:type="dxa"/>
            <w:tcBorders>
              <w:top w:val="single" w:sz="4" w:space="0" w:color="auto"/>
              <w:bottom w:val="single" w:sz="2" w:space="0" w:color="auto"/>
            </w:tcBorders>
          </w:tcPr>
          <w:p w:rsidR="00187D42" w:rsidRPr="00A4493D" w:rsidRDefault="00187D42" w:rsidP="00D80732">
            <w:pPr>
              <w:jc w:val="center"/>
              <w:rPr>
                <w:rFonts w:ascii="Times New Roman" w:eastAsia="Calibri" w:hAnsi="Times New Roman" w:cs="Times New Roman"/>
                <w:sz w:val="20"/>
                <w:szCs w:val="20"/>
              </w:rPr>
            </w:pPr>
            <w:r w:rsidRPr="00A4493D">
              <w:rPr>
                <w:rFonts w:ascii="Times New Roman" w:eastAsia="Calibri" w:hAnsi="Times New Roman" w:cs="Times New Roman"/>
                <w:sz w:val="20"/>
                <w:szCs w:val="20"/>
              </w:rPr>
              <w:t>I – III</w:t>
            </w:r>
          </w:p>
        </w:tc>
        <w:tc>
          <w:tcPr>
            <w:tcW w:w="1160" w:type="dxa"/>
            <w:tcBorders>
              <w:top w:val="single" w:sz="4" w:space="0" w:color="auto"/>
              <w:bottom w:val="single" w:sz="2" w:space="0" w:color="auto"/>
            </w:tcBorders>
          </w:tcPr>
          <w:p w:rsidR="00187D42" w:rsidRPr="00A4493D" w:rsidRDefault="00187D42" w:rsidP="00D80732">
            <w:pPr>
              <w:jc w:val="center"/>
              <w:rPr>
                <w:rFonts w:ascii="Times New Roman" w:eastAsia="Calibri" w:hAnsi="Times New Roman" w:cs="Times New Roman"/>
                <w:sz w:val="20"/>
                <w:szCs w:val="20"/>
              </w:rPr>
            </w:pPr>
            <w:r w:rsidRPr="00A4493D">
              <w:rPr>
                <w:rFonts w:ascii="Times New Roman" w:eastAsia="Calibri" w:hAnsi="Times New Roman" w:cs="Times New Roman"/>
                <w:sz w:val="20"/>
                <w:szCs w:val="20"/>
              </w:rPr>
              <w:t>II - III</w:t>
            </w:r>
          </w:p>
        </w:tc>
      </w:tr>
    </w:tbl>
    <w:tbl>
      <w:tblPr>
        <w:tblW w:w="0" w:type="auto"/>
        <w:tblLayout w:type="fixed"/>
        <w:tblLook w:val="04A0" w:firstRow="1" w:lastRow="0" w:firstColumn="1" w:lastColumn="0" w:noHBand="0" w:noVBand="1"/>
      </w:tblPr>
      <w:tblGrid>
        <w:gridCol w:w="1024"/>
        <w:gridCol w:w="1092"/>
        <w:gridCol w:w="1159"/>
        <w:gridCol w:w="1159"/>
        <w:gridCol w:w="1236"/>
        <w:gridCol w:w="1083"/>
        <w:gridCol w:w="1159"/>
        <w:gridCol w:w="1160"/>
      </w:tblGrid>
      <w:tr w:rsidR="00187D42" w:rsidRPr="00A4493D" w:rsidTr="00D80732">
        <w:tc>
          <w:tcPr>
            <w:tcW w:w="1024" w:type="dxa"/>
            <w:vMerge w:val="restart"/>
            <w:tcBorders>
              <w:top w:val="single" w:sz="2" w:space="0" w:color="auto"/>
            </w:tcBorders>
          </w:tcPr>
          <w:p w:rsidR="00187D42" w:rsidRPr="00A4493D" w:rsidRDefault="00187D42" w:rsidP="00D80732">
            <w:pPr>
              <w:spacing w:after="0" w:line="240" w:lineRule="auto"/>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fldChar w:fldCharType="begin"/>
            </w:r>
            <w:r w:rsidRPr="00A4493D">
              <w:rPr>
                <w:rFonts w:ascii="Times New Roman" w:eastAsia="Calibri" w:hAnsi="Times New Roman" w:cs="Times New Roman"/>
                <w:sz w:val="20"/>
                <w:szCs w:val="20"/>
                <w:lang w:val="en-US"/>
              </w:rPr>
              <w:instrText xml:space="preserve"> REF _Ref148357070 \h  \* MERGEFORMAT </w:instrText>
            </w:r>
            <w:r w:rsidRPr="00A4493D">
              <w:rPr>
                <w:rFonts w:ascii="Times New Roman" w:eastAsia="Calibri" w:hAnsi="Times New Roman" w:cs="Times New Roman"/>
                <w:sz w:val="20"/>
                <w:szCs w:val="20"/>
                <w:lang w:val="en-US"/>
              </w:rPr>
            </w:r>
            <w:r w:rsidRPr="00A4493D">
              <w:rPr>
                <w:rFonts w:ascii="Times New Roman" w:eastAsia="Calibri" w:hAnsi="Times New Roman" w:cs="Times New Roman"/>
                <w:sz w:val="20"/>
                <w:szCs w:val="20"/>
                <w:lang w:val="en-US"/>
              </w:rPr>
              <w:fldChar w:fldCharType="separate"/>
            </w:r>
            <w:r w:rsidRPr="00A4493D">
              <w:rPr>
                <w:rFonts w:ascii="Times New Roman" w:eastAsia="Calibri" w:hAnsi="Times New Roman" w:cs="Times New Roman"/>
                <w:sz w:val="20"/>
                <w:szCs w:val="20"/>
                <w:lang w:val="en-US"/>
              </w:rPr>
              <w:t xml:space="preserve">Equation </w:t>
            </w:r>
            <w:r w:rsidRPr="00A4493D">
              <w:rPr>
                <w:rFonts w:ascii="Times New Roman" w:eastAsia="Calibri" w:hAnsi="Times New Roman" w:cs="Times New Roman"/>
                <w:noProof/>
                <w:sz w:val="20"/>
                <w:szCs w:val="20"/>
                <w:lang w:val="en-US"/>
              </w:rPr>
              <w:t>2</w:t>
            </w:r>
            <w:r w:rsidRPr="00A4493D">
              <w:rPr>
                <w:rFonts w:ascii="Times New Roman" w:eastAsia="Calibri" w:hAnsi="Times New Roman" w:cs="Times New Roman"/>
                <w:sz w:val="20"/>
                <w:szCs w:val="20"/>
                <w:lang w:val="en-US"/>
              </w:rPr>
              <w:fldChar w:fldCharType="end"/>
            </w:r>
          </w:p>
        </w:tc>
        <w:tc>
          <w:tcPr>
            <w:tcW w:w="1092" w:type="dxa"/>
            <w:tcBorders>
              <w:top w:val="single" w:sz="2" w:space="0" w:color="auto"/>
            </w:tcBorders>
          </w:tcPr>
          <w:p w:rsidR="00187D42" w:rsidRPr="00AF7A44" w:rsidRDefault="00187D42" w:rsidP="00D80732">
            <w:pPr>
              <w:spacing w:after="0" w:line="240" w:lineRule="auto"/>
              <w:rPr>
                <w:rFonts w:ascii="Times New Roman" w:eastAsia="Calibri" w:hAnsi="Times New Roman" w:cs="Times New Roman"/>
                <w:sz w:val="20"/>
                <w:szCs w:val="20"/>
                <w:lang w:val="en-US"/>
              </w:rPr>
            </w:pPr>
            <w:proofErr w:type="spellStart"/>
            <w:r w:rsidRPr="00AF7A44">
              <w:rPr>
                <w:rFonts w:ascii="Times New Roman" w:eastAsia="Calibri" w:hAnsi="Times New Roman" w:cs="Times New Roman"/>
                <w:sz w:val="20"/>
                <w:szCs w:val="20"/>
                <w:lang w:val="en-US"/>
              </w:rPr>
              <w:t>trw</w:t>
            </w:r>
            <w:proofErr w:type="spellEnd"/>
          </w:p>
        </w:tc>
        <w:tc>
          <w:tcPr>
            <w:tcW w:w="1159" w:type="dxa"/>
            <w:tcBorders>
              <w:top w:val="single" w:sz="2"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&lt; 0.001</w:t>
            </w:r>
          </w:p>
        </w:tc>
        <w:tc>
          <w:tcPr>
            <w:tcW w:w="1159" w:type="dxa"/>
            <w:tcBorders>
              <w:top w:val="single" w:sz="2"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w:t>
            </w:r>
          </w:p>
        </w:tc>
        <w:tc>
          <w:tcPr>
            <w:tcW w:w="1236" w:type="dxa"/>
            <w:tcBorders>
              <w:top w:val="single" w:sz="2"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w:t>
            </w:r>
          </w:p>
        </w:tc>
        <w:tc>
          <w:tcPr>
            <w:tcW w:w="1083" w:type="dxa"/>
            <w:tcBorders>
              <w:top w:val="single" w:sz="2"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0.134</w:t>
            </w:r>
          </w:p>
        </w:tc>
        <w:tc>
          <w:tcPr>
            <w:tcW w:w="1159" w:type="dxa"/>
            <w:tcBorders>
              <w:top w:val="single" w:sz="2"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&lt; 0.001</w:t>
            </w:r>
          </w:p>
        </w:tc>
        <w:tc>
          <w:tcPr>
            <w:tcW w:w="1160" w:type="dxa"/>
            <w:tcBorders>
              <w:top w:val="single" w:sz="2"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0.008</w:t>
            </w:r>
          </w:p>
        </w:tc>
      </w:tr>
      <w:tr w:rsidR="00187D42" w:rsidRPr="00A4493D" w:rsidTr="00D80732">
        <w:tc>
          <w:tcPr>
            <w:tcW w:w="1024" w:type="dxa"/>
            <w:vMerge/>
            <w:tcBorders>
              <w:bottom w:val="single" w:sz="4" w:space="0" w:color="auto"/>
            </w:tcBorders>
          </w:tcPr>
          <w:p w:rsidR="00187D42" w:rsidRPr="00A4493D" w:rsidRDefault="00187D42" w:rsidP="00D80732">
            <w:pPr>
              <w:spacing w:after="0" w:line="240" w:lineRule="auto"/>
              <w:rPr>
                <w:rFonts w:ascii="Times New Roman" w:eastAsia="Calibri" w:hAnsi="Times New Roman" w:cs="Times New Roman"/>
                <w:i/>
                <w:sz w:val="20"/>
                <w:szCs w:val="20"/>
                <w:lang w:val="en-US"/>
              </w:rPr>
            </w:pPr>
          </w:p>
        </w:tc>
        <w:tc>
          <w:tcPr>
            <w:tcW w:w="1092" w:type="dxa"/>
            <w:tcBorders>
              <w:bottom w:val="single" w:sz="4" w:space="0" w:color="auto"/>
            </w:tcBorders>
          </w:tcPr>
          <w:p w:rsidR="00187D42" w:rsidRPr="00AF7A44" w:rsidRDefault="00187D42" w:rsidP="00D80732">
            <w:pPr>
              <w:spacing w:after="0" w:line="240" w:lineRule="auto"/>
              <w:rPr>
                <w:rFonts w:ascii="Times New Roman" w:eastAsia="Calibri" w:hAnsi="Times New Roman" w:cs="Times New Roman"/>
                <w:sz w:val="20"/>
                <w:szCs w:val="20"/>
                <w:lang w:val="en-US"/>
              </w:rPr>
            </w:pPr>
            <w:proofErr w:type="spellStart"/>
            <w:r w:rsidRPr="00AF7A44">
              <w:rPr>
                <w:rFonts w:ascii="Times New Roman" w:eastAsia="Calibri" w:hAnsi="Times New Roman" w:cs="Times New Roman"/>
                <w:sz w:val="20"/>
                <w:szCs w:val="20"/>
                <w:lang w:val="en-US"/>
              </w:rPr>
              <w:t>riba</w:t>
            </w:r>
            <w:proofErr w:type="spellEnd"/>
          </w:p>
        </w:tc>
        <w:tc>
          <w:tcPr>
            <w:tcW w:w="1159" w:type="dxa"/>
            <w:tcBorders>
              <w:bottom w:val="single" w:sz="4"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&lt; 0.001</w:t>
            </w:r>
          </w:p>
        </w:tc>
        <w:tc>
          <w:tcPr>
            <w:tcW w:w="1159" w:type="dxa"/>
            <w:tcBorders>
              <w:bottom w:val="single" w:sz="4"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w:t>
            </w:r>
          </w:p>
        </w:tc>
        <w:tc>
          <w:tcPr>
            <w:tcW w:w="1236" w:type="dxa"/>
            <w:tcBorders>
              <w:bottom w:val="single" w:sz="4"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w:t>
            </w:r>
          </w:p>
        </w:tc>
        <w:tc>
          <w:tcPr>
            <w:tcW w:w="1083" w:type="dxa"/>
            <w:tcBorders>
              <w:bottom w:val="single" w:sz="4"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0.002</w:t>
            </w:r>
          </w:p>
        </w:tc>
        <w:tc>
          <w:tcPr>
            <w:tcW w:w="1159" w:type="dxa"/>
            <w:tcBorders>
              <w:bottom w:val="single" w:sz="4"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0.131</w:t>
            </w:r>
          </w:p>
        </w:tc>
        <w:tc>
          <w:tcPr>
            <w:tcW w:w="1160" w:type="dxa"/>
            <w:tcBorders>
              <w:bottom w:val="single" w:sz="4"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0.354</w:t>
            </w:r>
          </w:p>
        </w:tc>
      </w:tr>
      <w:tr w:rsidR="00187D42" w:rsidRPr="00A4493D" w:rsidTr="00D80732">
        <w:trPr>
          <w:trHeight w:val="163"/>
        </w:trPr>
        <w:tc>
          <w:tcPr>
            <w:tcW w:w="1024" w:type="dxa"/>
            <w:vMerge w:val="restart"/>
            <w:tcBorders>
              <w:top w:val="single" w:sz="4" w:space="0" w:color="auto"/>
            </w:tcBorders>
          </w:tcPr>
          <w:p w:rsidR="00187D42" w:rsidRPr="00A4493D" w:rsidRDefault="00187D42" w:rsidP="00D80732">
            <w:pPr>
              <w:spacing w:after="0" w:line="240" w:lineRule="auto"/>
              <w:rPr>
                <w:rFonts w:ascii="Times New Roman" w:eastAsia="Calibri" w:hAnsi="Times New Roman" w:cs="Times New Roman"/>
                <w:i/>
                <w:sz w:val="20"/>
                <w:szCs w:val="20"/>
                <w:lang w:val="en-US"/>
              </w:rPr>
            </w:pPr>
            <w:r w:rsidRPr="00A4493D">
              <w:rPr>
                <w:rFonts w:ascii="Times New Roman" w:eastAsia="Calibri" w:hAnsi="Times New Roman" w:cs="Times New Roman"/>
                <w:i/>
                <w:sz w:val="20"/>
                <w:szCs w:val="20"/>
                <w:lang w:val="en-US"/>
              </w:rPr>
              <w:fldChar w:fldCharType="begin"/>
            </w:r>
            <w:r w:rsidRPr="00A4493D">
              <w:rPr>
                <w:rFonts w:ascii="Times New Roman" w:eastAsia="Calibri" w:hAnsi="Times New Roman" w:cs="Times New Roman"/>
                <w:i/>
                <w:sz w:val="20"/>
                <w:szCs w:val="20"/>
                <w:lang w:val="en-US"/>
              </w:rPr>
              <w:instrText xml:space="preserve"> REF _Ref150242630 \h  \* MERGEFORMAT </w:instrText>
            </w:r>
            <w:r w:rsidRPr="00A4493D">
              <w:rPr>
                <w:rFonts w:ascii="Times New Roman" w:eastAsia="Calibri" w:hAnsi="Times New Roman" w:cs="Times New Roman"/>
                <w:i/>
                <w:sz w:val="20"/>
                <w:szCs w:val="20"/>
                <w:lang w:val="en-US"/>
              </w:rPr>
            </w:r>
            <w:r w:rsidRPr="00A4493D">
              <w:rPr>
                <w:rFonts w:ascii="Times New Roman" w:eastAsia="Calibri" w:hAnsi="Times New Roman" w:cs="Times New Roman"/>
                <w:i/>
                <w:sz w:val="20"/>
                <w:szCs w:val="20"/>
                <w:lang w:val="en-US"/>
              </w:rPr>
              <w:fldChar w:fldCharType="separate"/>
            </w:r>
            <w:r w:rsidRPr="00A4493D">
              <w:rPr>
                <w:rFonts w:ascii="Times New Roman" w:eastAsia="Calibri" w:hAnsi="Times New Roman" w:cs="Times New Roman"/>
                <w:sz w:val="20"/>
                <w:szCs w:val="20"/>
                <w:lang w:val="en-US"/>
              </w:rPr>
              <w:t xml:space="preserve">Equation </w:t>
            </w:r>
            <w:r w:rsidRPr="00A4493D">
              <w:rPr>
                <w:rFonts w:ascii="Times New Roman" w:eastAsia="Calibri" w:hAnsi="Times New Roman" w:cs="Times New Roman"/>
                <w:noProof/>
                <w:sz w:val="20"/>
                <w:szCs w:val="20"/>
                <w:lang w:val="en-US"/>
              </w:rPr>
              <w:t>3</w:t>
            </w:r>
            <w:r w:rsidRPr="00A4493D">
              <w:rPr>
                <w:rFonts w:ascii="Times New Roman" w:eastAsia="Calibri" w:hAnsi="Times New Roman" w:cs="Times New Roman"/>
                <w:i/>
                <w:sz w:val="20"/>
                <w:szCs w:val="20"/>
                <w:lang w:val="en-US"/>
              </w:rPr>
              <w:fldChar w:fldCharType="end"/>
            </w:r>
          </w:p>
        </w:tc>
        <w:tc>
          <w:tcPr>
            <w:tcW w:w="1092" w:type="dxa"/>
            <w:tcBorders>
              <w:top w:val="single" w:sz="4" w:space="0" w:color="auto"/>
            </w:tcBorders>
          </w:tcPr>
          <w:p w:rsidR="00187D42" w:rsidRPr="00AF7A44" w:rsidRDefault="00187D42" w:rsidP="00D80732">
            <w:pPr>
              <w:spacing w:after="0" w:line="240" w:lineRule="auto"/>
              <w:rPr>
                <w:rFonts w:ascii="Times New Roman" w:eastAsia="Calibri" w:hAnsi="Times New Roman" w:cs="Times New Roman"/>
                <w:sz w:val="20"/>
                <w:szCs w:val="20"/>
                <w:lang w:val="en-US"/>
              </w:rPr>
            </w:pPr>
            <w:proofErr w:type="spellStart"/>
            <w:r w:rsidRPr="00AF7A44">
              <w:rPr>
                <w:rFonts w:ascii="Times New Roman" w:eastAsia="Calibri" w:hAnsi="Times New Roman" w:cs="Times New Roman"/>
                <w:sz w:val="20"/>
                <w:szCs w:val="20"/>
                <w:lang w:val="en-US"/>
              </w:rPr>
              <w:t>trw</w:t>
            </w:r>
            <w:proofErr w:type="spellEnd"/>
          </w:p>
        </w:tc>
        <w:tc>
          <w:tcPr>
            <w:tcW w:w="1159" w:type="dxa"/>
            <w:tcBorders>
              <w:top w:val="single" w:sz="4"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&lt; 0.001</w:t>
            </w:r>
          </w:p>
        </w:tc>
        <w:tc>
          <w:tcPr>
            <w:tcW w:w="1159" w:type="dxa"/>
            <w:tcBorders>
              <w:top w:val="single" w:sz="4"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sidRPr="00A4493D">
              <w:rPr>
                <w:rFonts w:ascii="Times New Roman" w:eastAsia="Calibri" w:hAnsi="Times New Roman" w:cs="Times New Roman"/>
                <w:b/>
                <w:sz w:val="20"/>
                <w:szCs w:val="20"/>
                <w:lang w:val="en-US"/>
              </w:rPr>
              <w:t>&lt; 0.001</w:t>
            </w:r>
          </w:p>
        </w:tc>
        <w:tc>
          <w:tcPr>
            <w:tcW w:w="1236" w:type="dxa"/>
            <w:tcBorders>
              <w:top w:val="single" w:sz="4"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0.662</w:t>
            </w:r>
          </w:p>
        </w:tc>
        <w:tc>
          <w:tcPr>
            <w:tcW w:w="1083" w:type="dxa"/>
            <w:tcBorders>
              <w:top w:val="single" w:sz="4"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0.898</w:t>
            </w:r>
          </w:p>
        </w:tc>
        <w:tc>
          <w:tcPr>
            <w:tcW w:w="1159" w:type="dxa"/>
            <w:tcBorders>
              <w:top w:val="single" w:sz="4"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0.851</w:t>
            </w:r>
          </w:p>
        </w:tc>
        <w:tc>
          <w:tcPr>
            <w:tcW w:w="1160" w:type="dxa"/>
            <w:tcBorders>
              <w:top w:val="single" w:sz="4"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sidRPr="00A4493D">
              <w:rPr>
                <w:rFonts w:ascii="Times New Roman" w:eastAsia="Calibri" w:hAnsi="Times New Roman" w:cs="Times New Roman"/>
                <w:sz w:val="20"/>
                <w:szCs w:val="20"/>
                <w:lang w:val="en-US"/>
              </w:rPr>
              <w:t>0.636</w:t>
            </w:r>
          </w:p>
        </w:tc>
      </w:tr>
      <w:tr w:rsidR="00187D42" w:rsidRPr="00A4493D" w:rsidTr="000E4EB4">
        <w:trPr>
          <w:trHeight w:val="163"/>
        </w:trPr>
        <w:tc>
          <w:tcPr>
            <w:tcW w:w="1024" w:type="dxa"/>
            <w:vMerge/>
            <w:tcBorders>
              <w:bottom w:val="single" w:sz="8" w:space="0" w:color="auto"/>
            </w:tcBorders>
          </w:tcPr>
          <w:p w:rsidR="00187D42" w:rsidRPr="00A4493D" w:rsidRDefault="00187D42" w:rsidP="00D80732">
            <w:pPr>
              <w:spacing w:after="0" w:line="240" w:lineRule="auto"/>
              <w:rPr>
                <w:rFonts w:ascii="Times New Roman" w:eastAsia="Calibri" w:hAnsi="Times New Roman" w:cs="Times New Roman"/>
                <w:i/>
                <w:sz w:val="20"/>
                <w:szCs w:val="20"/>
                <w:lang w:val="en-US"/>
              </w:rPr>
            </w:pPr>
          </w:p>
        </w:tc>
        <w:tc>
          <w:tcPr>
            <w:tcW w:w="1092" w:type="dxa"/>
            <w:tcBorders>
              <w:bottom w:val="single" w:sz="8" w:space="0" w:color="auto"/>
            </w:tcBorders>
          </w:tcPr>
          <w:p w:rsidR="00187D42" w:rsidRPr="00AF7A44" w:rsidRDefault="00187D42" w:rsidP="00D80732">
            <w:pPr>
              <w:spacing w:after="0" w:line="240" w:lineRule="auto"/>
              <w:rPr>
                <w:rFonts w:ascii="Times New Roman" w:eastAsia="Calibri" w:hAnsi="Times New Roman" w:cs="Times New Roman"/>
                <w:sz w:val="20"/>
                <w:szCs w:val="20"/>
                <w:lang w:val="en-US"/>
              </w:rPr>
            </w:pPr>
            <w:proofErr w:type="spellStart"/>
            <w:r w:rsidRPr="00AF7A44">
              <w:rPr>
                <w:rFonts w:ascii="Times New Roman" w:eastAsia="Calibri" w:hAnsi="Times New Roman" w:cs="Times New Roman"/>
                <w:sz w:val="20"/>
                <w:szCs w:val="20"/>
                <w:lang w:val="en-US"/>
              </w:rPr>
              <w:t>riba</w:t>
            </w:r>
            <w:proofErr w:type="spellEnd"/>
          </w:p>
        </w:tc>
        <w:tc>
          <w:tcPr>
            <w:tcW w:w="1159" w:type="dxa"/>
            <w:tcBorders>
              <w:bottom w:val="single" w:sz="8"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Pr>
                <w:rFonts w:ascii="Times New Roman" w:eastAsia="Calibri" w:hAnsi="Times New Roman" w:cs="Times New Roman"/>
                <w:b/>
                <w:sz w:val="20"/>
                <w:szCs w:val="20"/>
                <w:lang w:val="en-US"/>
              </w:rPr>
              <w:t>0.004</w:t>
            </w:r>
          </w:p>
        </w:tc>
        <w:tc>
          <w:tcPr>
            <w:tcW w:w="1159" w:type="dxa"/>
            <w:tcBorders>
              <w:bottom w:val="single" w:sz="8" w:space="0" w:color="auto"/>
            </w:tcBorders>
          </w:tcPr>
          <w:p w:rsidR="00187D42" w:rsidRPr="00A4493D" w:rsidRDefault="00187D42" w:rsidP="00D80732">
            <w:pPr>
              <w:spacing w:after="0" w:line="240" w:lineRule="auto"/>
              <w:jc w:val="center"/>
              <w:rPr>
                <w:rFonts w:ascii="Times New Roman" w:eastAsia="Calibri" w:hAnsi="Times New Roman" w:cs="Times New Roman"/>
                <w:b/>
                <w:sz w:val="20"/>
                <w:szCs w:val="20"/>
                <w:lang w:val="en-US"/>
              </w:rPr>
            </w:pPr>
            <w:r>
              <w:rPr>
                <w:rFonts w:ascii="Times New Roman" w:eastAsia="Calibri" w:hAnsi="Times New Roman" w:cs="Times New Roman"/>
                <w:b/>
                <w:sz w:val="20"/>
                <w:szCs w:val="20"/>
                <w:lang w:val="en-US"/>
              </w:rPr>
              <w:t>&lt;0.001</w:t>
            </w:r>
          </w:p>
        </w:tc>
        <w:tc>
          <w:tcPr>
            <w:tcW w:w="1236" w:type="dxa"/>
            <w:tcBorders>
              <w:bottom w:val="single" w:sz="8"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0.599</w:t>
            </w:r>
          </w:p>
        </w:tc>
        <w:tc>
          <w:tcPr>
            <w:tcW w:w="1083" w:type="dxa"/>
            <w:tcBorders>
              <w:bottom w:val="single" w:sz="8"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0.969</w:t>
            </w:r>
          </w:p>
        </w:tc>
        <w:tc>
          <w:tcPr>
            <w:tcW w:w="1159" w:type="dxa"/>
            <w:tcBorders>
              <w:bottom w:val="single" w:sz="8"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0.703</w:t>
            </w:r>
          </w:p>
        </w:tc>
        <w:tc>
          <w:tcPr>
            <w:tcW w:w="1160" w:type="dxa"/>
            <w:tcBorders>
              <w:bottom w:val="single" w:sz="8" w:space="0" w:color="auto"/>
            </w:tcBorders>
          </w:tcPr>
          <w:p w:rsidR="00187D42" w:rsidRPr="00A4493D" w:rsidRDefault="00187D42" w:rsidP="00D80732">
            <w:pPr>
              <w:spacing w:after="0" w:line="240" w:lineRule="auto"/>
              <w:jc w:val="cente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0.603</w:t>
            </w:r>
          </w:p>
        </w:tc>
      </w:tr>
    </w:tbl>
    <w:p w:rsidR="00187D42" w:rsidRDefault="00187D42" w:rsidP="00187D42"/>
    <w:p w:rsidR="00187D42" w:rsidRPr="00D65719" w:rsidRDefault="00187D42" w:rsidP="00187D42">
      <w:pPr>
        <w:spacing w:after="0" w:line="276" w:lineRule="auto"/>
        <w:jc w:val="both"/>
        <w:rPr>
          <w:rFonts w:ascii="Times New Roman" w:hAnsi="Times New Roman" w:cs="Times New Roman"/>
          <w:sz w:val="20"/>
          <w:szCs w:val="20"/>
        </w:rPr>
      </w:pPr>
    </w:p>
    <w:p w:rsidR="00187D42" w:rsidRDefault="00187D42"/>
    <w:p w:rsidR="00660242" w:rsidRPr="00660242" w:rsidRDefault="00660242" w:rsidP="00660242">
      <w:pPr>
        <w:pStyle w:val="1"/>
        <w:rPr>
          <w:color w:val="auto"/>
        </w:rPr>
      </w:pPr>
      <w:r w:rsidRPr="00660242">
        <w:rPr>
          <w:color w:val="auto"/>
        </w:rPr>
        <w:t>References</w:t>
      </w:r>
    </w:p>
    <w:p w:rsidR="00660242" w:rsidRPr="00660242" w:rsidRDefault="00660242" w:rsidP="00660242">
      <w:pPr>
        <w:pStyle w:val="ad"/>
        <w:spacing w:after="120" w:line="276" w:lineRule="auto"/>
        <w:rPr>
          <w:rFonts w:ascii="Times New Roman" w:hAnsi="Times New Roman" w:cs="Times New Roman"/>
          <w:sz w:val="20"/>
        </w:rPr>
      </w:pPr>
      <w:r w:rsidRPr="00660242">
        <w:rPr>
          <w:rFonts w:ascii="Times New Roman" w:hAnsi="Times New Roman" w:cs="Times New Roman"/>
          <w:sz w:val="20"/>
        </w:rPr>
        <w:fldChar w:fldCharType="begin"/>
      </w:r>
      <w:r w:rsidRPr="00660242">
        <w:rPr>
          <w:rFonts w:ascii="Times New Roman" w:hAnsi="Times New Roman" w:cs="Times New Roman"/>
          <w:sz w:val="20"/>
        </w:rPr>
        <w:instrText xml:space="preserve"> ADDIN ZOTERO_BIBL {"uncited":[],"omitted":[],"custom":[]} CSL_BIBLIOGRAPHY </w:instrText>
      </w:r>
      <w:r w:rsidRPr="00660242">
        <w:rPr>
          <w:rFonts w:ascii="Times New Roman" w:hAnsi="Times New Roman" w:cs="Times New Roman"/>
          <w:sz w:val="20"/>
        </w:rPr>
        <w:fldChar w:fldCharType="separate"/>
      </w:r>
      <w:r w:rsidRPr="00660242">
        <w:rPr>
          <w:rFonts w:ascii="Times New Roman" w:hAnsi="Times New Roman" w:cs="Times New Roman"/>
          <w:sz w:val="20"/>
        </w:rPr>
        <w:t>Pretzsch, H., Ahmed, S., Jacobs, M., Schmied, G., Hilmers, T., 2022. Linking crown structure with tree ring pattern: methodological considerations and proof of concept. Trees.</w:t>
      </w:r>
      <w:r w:rsidRPr="007A208F">
        <w:rPr>
          <w:rFonts w:ascii="Times New Roman" w:hAnsi="Times New Roman" w:cs="Times New Roman"/>
          <w:sz w:val="20"/>
        </w:rPr>
        <w:t xml:space="preserve"> </w:t>
      </w:r>
      <w:r w:rsidRPr="007A208F">
        <w:rPr>
          <w:rFonts w:ascii="Times New Roman" w:hAnsi="Times New Roman" w:cs="Times New Roman"/>
          <w:iCs/>
          <w:sz w:val="20"/>
        </w:rPr>
        <w:t>36</w:t>
      </w:r>
      <w:r w:rsidRPr="007A208F">
        <w:rPr>
          <w:rFonts w:ascii="Times New Roman" w:hAnsi="Times New Roman" w:cs="Times New Roman"/>
          <w:sz w:val="20"/>
        </w:rPr>
        <w:t>(</w:t>
      </w:r>
      <w:r w:rsidRPr="00660242">
        <w:rPr>
          <w:rFonts w:ascii="Times New Roman" w:hAnsi="Times New Roman" w:cs="Times New Roman"/>
          <w:sz w:val="20"/>
        </w:rPr>
        <w:t>4)</w:t>
      </w:r>
      <w:r w:rsidR="007A208F">
        <w:rPr>
          <w:rFonts w:ascii="Times New Roman" w:hAnsi="Times New Roman" w:cs="Times New Roman" w:hint="eastAsia"/>
          <w:sz w:val="20"/>
          <w:lang w:eastAsia="zh-CN"/>
        </w:rPr>
        <w:t>,</w:t>
      </w:r>
      <w:r w:rsidRPr="00660242">
        <w:rPr>
          <w:rFonts w:ascii="Times New Roman" w:hAnsi="Times New Roman" w:cs="Times New Roman"/>
          <w:sz w:val="20"/>
        </w:rPr>
        <w:t xml:space="preserve"> 1349–1367. https://doi.org/10.1007/s00468-022-02297-x</w:t>
      </w:r>
    </w:p>
    <w:p w:rsidR="00660242" w:rsidRPr="00660242" w:rsidRDefault="00660242" w:rsidP="00660242">
      <w:pPr>
        <w:pStyle w:val="ad"/>
        <w:spacing w:after="120" w:line="276" w:lineRule="auto"/>
        <w:rPr>
          <w:rFonts w:ascii="Times New Roman" w:hAnsi="Times New Roman" w:cs="Times New Roman"/>
          <w:sz w:val="20"/>
        </w:rPr>
      </w:pPr>
      <w:r w:rsidRPr="00660242">
        <w:rPr>
          <w:rFonts w:ascii="Times New Roman" w:hAnsi="Times New Roman" w:cs="Times New Roman"/>
          <w:sz w:val="20"/>
        </w:rPr>
        <w:t xml:space="preserve">Shi, P., Zheng, X., Ratkowsky, D.A., Li, Y., Wang, P., Cheng, L., 2018. A </w:t>
      </w:r>
      <w:bookmarkStart w:id="6" w:name="_GoBack"/>
      <w:r w:rsidR="00424B71" w:rsidRPr="00660242">
        <w:rPr>
          <w:rFonts w:ascii="Times New Roman" w:hAnsi="Times New Roman" w:cs="Times New Roman"/>
          <w:sz w:val="20"/>
        </w:rPr>
        <w:t>simple method for measuring the bilater</w:t>
      </w:r>
      <w:r w:rsidR="00424B71">
        <w:rPr>
          <w:rFonts w:ascii="Times New Roman" w:hAnsi="Times New Roman" w:cs="Times New Roman"/>
          <w:sz w:val="20"/>
        </w:rPr>
        <w:t>al symmetry of leav</w:t>
      </w:r>
      <w:bookmarkEnd w:id="6"/>
      <w:r w:rsidR="007A208F">
        <w:rPr>
          <w:rFonts w:ascii="Times New Roman" w:hAnsi="Times New Roman" w:cs="Times New Roman"/>
          <w:sz w:val="20"/>
        </w:rPr>
        <w:t>es. Symmetry</w:t>
      </w:r>
      <w:r w:rsidRPr="00660242">
        <w:rPr>
          <w:rFonts w:ascii="Times New Roman" w:hAnsi="Times New Roman" w:cs="Times New Roman"/>
          <w:sz w:val="20"/>
        </w:rPr>
        <w:t xml:space="preserve"> </w:t>
      </w:r>
      <w:r w:rsidRPr="007A208F">
        <w:rPr>
          <w:rFonts w:ascii="Times New Roman" w:hAnsi="Times New Roman" w:cs="Times New Roman"/>
          <w:iCs/>
          <w:sz w:val="20"/>
        </w:rPr>
        <w:t>10</w:t>
      </w:r>
      <w:r w:rsidRPr="007A208F">
        <w:rPr>
          <w:rFonts w:ascii="Times New Roman" w:hAnsi="Times New Roman" w:cs="Times New Roman"/>
          <w:sz w:val="20"/>
        </w:rPr>
        <w:t>(</w:t>
      </w:r>
      <w:r w:rsidRPr="00660242">
        <w:rPr>
          <w:rFonts w:ascii="Times New Roman" w:hAnsi="Times New Roman" w:cs="Times New Roman"/>
          <w:sz w:val="20"/>
        </w:rPr>
        <w:t>4)</w:t>
      </w:r>
      <w:r w:rsidR="007A208F">
        <w:rPr>
          <w:rFonts w:ascii="Times New Roman" w:hAnsi="Times New Roman" w:cs="Times New Roman"/>
          <w:sz w:val="20"/>
        </w:rPr>
        <w:t>,</w:t>
      </w:r>
      <w:r w:rsidRPr="00660242">
        <w:rPr>
          <w:rFonts w:ascii="Times New Roman" w:hAnsi="Times New Roman" w:cs="Times New Roman"/>
          <w:sz w:val="20"/>
        </w:rPr>
        <w:t xml:space="preserve"> 4</w:t>
      </w:r>
      <w:r w:rsidR="007A208F">
        <w:rPr>
          <w:rFonts w:ascii="Times New Roman" w:hAnsi="Times New Roman" w:cs="Times New Roman"/>
          <w:sz w:val="20"/>
        </w:rPr>
        <w:t>.</w:t>
      </w:r>
      <w:r w:rsidRPr="00660242">
        <w:rPr>
          <w:rFonts w:ascii="Times New Roman" w:hAnsi="Times New Roman" w:cs="Times New Roman"/>
          <w:sz w:val="20"/>
        </w:rPr>
        <w:t xml:space="preserve"> https://doi.org/10.3390/sym10040118</w:t>
      </w:r>
    </w:p>
    <w:p w:rsidR="00660242" w:rsidRPr="00660242" w:rsidRDefault="00660242" w:rsidP="00660242">
      <w:pPr>
        <w:spacing w:after="120" w:line="276" w:lineRule="auto"/>
      </w:pPr>
      <w:r w:rsidRPr="00660242">
        <w:rPr>
          <w:rFonts w:ascii="Times New Roman" w:hAnsi="Times New Roman" w:cs="Times New Roman"/>
          <w:sz w:val="20"/>
        </w:rPr>
        <w:fldChar w:fldCharType="end"/>
      </w:r>
    </w:p>
    <w:sectPr w:rsidR="00660242" w:rsidRPr="00660242" w:rsidSect="00354FAE">
      <w:footerReference w:type="default" r:id="rId10"/>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0C0" w:rsidRDefault="00E960C0">
      <w:pPr>
        <w:spacing w:after="0" w:line="240" w:lineRule="auto"/>
      </w:pPr>
      <w:r>
        <w:separator/>
      </w:r>
    </w:p>
  </w:endnote>
  <w:endnote w:type="continuationSeparator" w:id="0">
    <w:p w:rsidR="00E960C0" w:rsidRDefault="00E96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325255"/>
      <w:docPartObj>
        <w:docPartGallery w:val="Page Numbers (Bottom of Page)"/>
        <w:docPartUnique/>
      </w:docPartObj>
    </w:sdtPr>
    <w:sdtEndPr/>
    <w:sdtContent>
      <w:p w:rsidR="00143201" w:rsidRDefault="00187D42">
        <w:pPr>
          <w:pStyle w:val="a3"/>
          <w:jc w:val="center"/>
        </w:pPr>
        <w:r>
          <w:fldChar w:fldCharType="begin"/>
        </w:r>
        <w:r>
          <w:instrText>PAGE   \* MERGEFORMAT</w:instrText>
        </w:r>
        <w:r>
          <w:fldChar w:fldCharType="separate"/>
        </w:r>
        <w:r w:rsidR="00424B71" w:rsidRPr="00424B71">
          <w:rPr>
            <w:noProof/>
            <w:lang w:val="de-DE"/>
          </w:rPr>
          <w:t>4</w:t>
        </w:r>
        <w:r>
          <w:fldChar w:fldCharType="end"/>
        </w:r>
      </w:p>
    </w:sdtContent>
  </w:sdt>
  <w:p w:rsidR="00143201" w:rsidRDefault="00E960C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0C0" w:rsidRDefault="00E960C0">
      <w:pPr>
        <w:spacing w:after="0" w:line="240" w:lineRule="auto"/>
      </w:pPr>
      <w:r>
        <w:separator/>
      </w:r>
    </w:p>
  </w:footnote>
  <w:footnote w:type="continuationSeparator" w:id="0">
    <w:p w:rsidR="00E960C0" w:rsidRDefault="00E960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D42"/>
    <w:rsid w:val="0001115D"/>
    <w:rsid w:val="000706A0"/>
    <w:rsid w:val="000B5E6C"/>
    <w:rsid w:val="000E4EB4"/>
    <w:rsid w:val="00162C9A"/>
    <w:rsid w:val="00182A7A"/>
    <w:rsid w:val="00187D42"/>
    <w:rsid w:val="00207BB4"/>
    <w:rsid w:val="00214BED"/>
    <w:rsid w:val="002A1C2B"/>
    <w:rsid w:val="002B2D08"/>
    <w:rsid w:val="003F188E"/>
    <w:rsid w:val="00424B71"/>
    <w:rsid w:val="00660242"/>
    <w:rsid w:val="007A208F"/>
    <w:rsid w:val="009476CB"/>
    <w:rsid w:val="00AF7A44"/>
    <w:rsid w:val="00C867C3"/>
    <w:rsid w:val="00C961B1"/>
    <w:rsid w:val="00D41F56"/>
    <w:rsid w:val="00E26CD7"/>
    <w:rsid w:val="00E960C0"/>
    <w:rsid w:val="00F759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C37F"/>
  <w15:chartTrackingRefBased/>
  <w15:docId w15:val="{FB7CCEE5-913F-4D3A-8DB7-E3D539FB5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D42"/>
    <w:rPr>
      <w:lang w:val="en-GB"/>
    </w:rPr>
  </w:style>
  <w:style w:type="paragraph" w:styleId="1">
    <w:name w:val="heading 1"/>
    <w:basedOn w:val="a"/>
    <w:next w:val="a"/>
    <w:link w:val="10"/>
    <w:uiPriority w:val="9"/>
    <w:qFormat/>
    <w:rsid w:val="00187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87D42"/>
    <w:rPr>
      <w:rFonts w:asciiTheme="majorHAnsi" w:eastAsiaTheme="majorEastAsia" w:hAnsiTheme="majorHAnsi" w:cstheme="majorBidi"/>
      <w:color w:val="2F5496" w:themeColor="accent1" w:themeShade="BF"/>
      <w:sz w:val="32"/>
      <w:szCs w:val="32"/>
      <w:lang w:val="en-GB"/>
    </w:rPr>
  </w:style>
  <w:style w:type="paragraph" w:styleId="a3">
    <w:name w:val="footer"/>
    <w:basedOn w:val="a"/>
    <w:link w:val="a4"/>
    <w:uiPriority w:val="99"/>
    <w:unhideWhenUsed/>
    <w:rsid w:val="00187D42"/>
    <w:pPr>
      <w:tabs>
        <w:tab w:val="center" w:pos="4536"/>
        <w:tab w:val="right" w:pos="9072"/>
      </w:tabs>
      <w:spacing w:after="0" w:line="240" w:lineRule="auto"/>
    </w:pPr>
  </w:style>
  <w:style w:type="character" w:customStyle="1" w:styleId="a4">
    <w:name w:val="页脚 字符"/>
    <w:basedOn w:val="a0"/>
    <w:link w:val="a3"/>
    <w:uiPriority w:val="99"/>
    <w:rsid w:val="00187D42"/>
    <w:rPr>
      <w:lang w:val="en-GB"/>
    </w:rPr>
  </w:style>
  <w:style w:type="paragraph" w:styleId="a5">
    <w:name w:val="caption"/>
    <w:basedOn w:val="a"/>
    <w:next w:val="a"/>
    <w:uiPriority w:val="35"/>
    <w:unhideWhenUsed/>
    <w:qFormat/>
    <w:rsid w:val="00187D42"/>
    <w:pPr>
      <w:spacing w:after="200" w:line="240" w:lineRule="auto"/>
    </w:pPr>
    <w:rPr>
      <w:i/>
      <w:iCs/>
      <w:color w:val="44546A" w:themeColor="text2"/>
      <w:sz w:val="18"/>
      <w:szCs w:val="18"/>
    </w:rPr>
  </w:style>
  <w:style w:type="table" w:customStyle="1" w:styleId="Tabellenraster2">
    <w:name w:val="Tabellenraster2"/>
    <w:basedOn w:val="a1"/>
    <w:next w:val="a6"/>
    <w:uiPriority w:val="39"/>
    <w:rsid w:val="00187D4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a1"/>
    <w:next w:val="a6"/>
    <w:uiPriority w:val="39"/>
    <w:rsid w:val="00187D4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87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line number"/>
    <w:basedOn w:val="a0"/>
    <w:uiPriority w:val="99"/>
    <w:semiHidden/>
    <w:unhideWhenUsed/>
    <w:rsid w:val="00187D42"/>
  </w:style>
  <w:style w:type="character" w:styleId="a8">
    <w:name w:val="annotation reference"/>
    <w:basedOn w:val="a0"/>
    <w:uiPriority w:val="99"/>
    <w:semiHidden/>
    <w:unhideWhenUsed/>
    <w:rsid w:val="00D41F56"/>
    <w:rPr>
      <w:sz w:val="16"/>
      <w:szCs w:val="16"/>
    </w:rPr>
  </w:style>
  <w:style w:type="paragraph" w:styleId="a9">
    <w:name w:val="annotation text"/>
    <w:basedOn w:val="a"/>
    <w:link w:val="aa"/>
    <w:uiPriority w:val="99"/>
    <w:unhideWhenUsed/>
    <w:rsid w:val="00D41F56"/>
    <w:pPr>
      <w:spacing w:line="240" w:lineRule="auto"/>
    </w:pPr>
    <w:rPr>
      <w:sz w:val="20"/>
      <w:szCs w:val="20"/>
    </w:rPr>
  </w:style>
  <w:style w:type="character" w:customStyle="1" w:styleId="aa">
    <w:name w:val="批注文字 字符"/>
    <w:basedOn w:val="a0"/>
    <w:link w:val="a9"/>
    <w:uiPriority w:val="99"/>
    <w:rsid w:val="00D41F56"/>
    <w:rPr>
      <w:sz w:val="20"/>
      <w:szCs w:val="20"/>
      <w:lang w:val="en-GB"/>
    </w:rPr>
  </w:style>
  <w:style w:type="paragraph" w:styleId="ab">
    <w:name w:val="Balloon Text"/>
    <w:basedOn w:val="a"/>
    <w:link w:val="ac"/>
    <w:uiPriority w:val="99"/>
    <w:semiHidden/>
    <w:unhideWhenUsed/>
    <w:rsid w:val="00D41F56"/>
    <w:pPr>
      <w:spacing w:after="0" w:line="240" w:lineRule="auto"/>
    </w:pPr>
    <w:rPr>
      <w:rFonts w:ascii="Segoe UI" w:hAnsi="Segoe UI" w:cs="Segoe UI"/>
      <w:sz w:val="18"/>
      <w:szCs w:val="18"/>
    </w:rPr>
  </w:style>
  <w:style w:type="character" w:customStyle="1" w:styleId="ac">
    <w:name w:val="批注框文本 字符"/>
    <w:basedOn w:val="a0"/>
    <w:link w:val="ab"/>
    <w:uiPriority w:val="99"/>
    <w:semiHidden/>
    <w:rsid w:val="00D41F56"/>
    <w:rPr>
      <w:rFonts w:ascii="Segoe UI" w:hAnsi="Segoe UI" w:cs="Segoe UI"/>
      <w:sz w:val="18"/>
      <w:szCs w:val="18"/>
      <w:lang w:val="en-GB"/>
    </w:rPr>
  </w:style>
  <w:style w:type="paragraph" w:styleId="ad">
    <w:name w:val="Bibliography"/>
    <w:basedOn w:val="a"/>
    <w:next w:val="a"/>
    <w:uiPriority w:val="37"/>
    <w:unhideWhenUsed/>
    <w:rsid w:val="00660242"/>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1230</Words>
  <Characters>7013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Kroener</dc:creator>
  <cp:keywords/>
  <dc:description/>
  <cp:lastModifiedBy>L14</cp:lastModifiedBy>
  <cp:revision>20</cp:revision>
  <dcterms:created xsi:type="dcterms:W3CDTF">2024-07-09T11:19:00Z</dcterms:created>
  <dcterms:modified xsi:type="dcterms:W3CDTF">2024-08-10T11:58:00Z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id="R6ifaybU"/&gt;&lt;style id="http://www.zotero.org/styles/forestecosystems_katja" locale="en-GB" hasBibliography="1" bibliographyStyleHasBeenSet="1"/&gt;&lt;prefs&gt;&lt;pref name="fieldType" value="Field"/&gt;&lt;pref n</vt:lpwstr>
  </property>
  <property fmtid="{D5CDD505-2E9C-101B-9397-08002B2CF9AE}" pid="3" name="ZOTERO_PREF_2">
    <vt:lpwstr>ame="automaticJournalAbbreviations" value="true"/&gt;&lt;/prefs&gt;&lt;/data&gt;</vt:lpwstr>
  </property>
</Properties>
</file>