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50F702" w14:textId="77777777" w:rsidR="002E40E1" w:rsidRDefault="00B2409D">
      <w:pPr>
        <w:spacing w:line="360" w:lineRule="auto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Supplemental methods (detailed descriptions)</w:t>
      </w:r>
    </w:p>
    <w:p w14:paraId="7821078D" w14:textId="77777777" w:rsidR="002E40E1" w:rsidRPr="00921E3C" w:rsidRDefault="002E40E1">
      <w:pPr>
        <w:spacing w:line="360" w:lineRule="auto"/>
        <w:jc w:val="both"/>
        <w:rPr>
          <w:lang w:val="en-US"/>
        </w:rPr>
      </w:pPr>
    </w:p>
    <w:p w14:paraId="262BA7EE" w14:textId="77777777" w:rsidR="002E40E1" w:rsidRDefault="00B2409D">
      <w:pPr>
        <w:spacing w:line="360" w:lineRule="auto"/>
        <w:jc w:val="both"/>
        <w:rPr>
          <w:b/>
          <w:bCs/>
          <w:lang w:val="en-US"/>
        </w:rPr>
      </w:pPr>
      <w:r>
        <w:rPr>
          <w:b/>
          <w:bCs/>
          <w:lang w:val="en-US"/>
        </w:rPr>
        <w:t>RNA library preparation and sequencing</w:t>
      </w:r>
    </w:p>
    <w:p w14:paraId="73D62B1A" w14:textId="77777777" w:rsidR="002E40E1" w:rsidRDefault="00B2409D">
      <w:pPr>
        <w:spacing w:line="360" w:lineRule="auto"/>
        <w:jc w:val="both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The total RNA input amounts used for </w:t>
      </w:r>
      <w:proofErr w:type="spellStart"/>
      <w:r>
        <w:rPr>
          <w:rFonts w:cstheme="minorHAnsi"/>
          <w:lang w:val="en-US"/>
        </w:rPr>
        <w:t>ribo</w:t>
      </w:r>
      <w:proofErr w:type="spellEnd"/>
      <w:r>
        <w:rPr>
          <w:rFonts w:cstheme="minorHAnsi"/>
          <w:lang w:val="en-US"/>
        </w:rPr>
        <w:t>-depletion were 200 ng for leaf (</w:t>
      </w:r>
      <w:proofErr w:type="spellStart"/>
      <w:r>
        <w:rPr>
          <w:rFonts w:cstheme="minorHAnsi"/>
          <w:lang w:val="en-US"/>
        </w:rPr>
        <w:t>Ribo</w:t>
      </w:r>
      <w:proofErr w:type="spellEnd"/>
      <w:r>
        <w:rPr>
          <w:rFonts w:cstheme="minorHAnsi"/>
          <w:lang w:val="en-US"/>
        </w:rPr>
        <w:t xml:space="preserve">-Zero </w:t>
      </w:r>
      <w:proofErr w:type="spellStart"/>
      <w:r>
        <w:rPr>
          <w:rFonts w:cstheme="minorHAnsi"/>
          <w:lang w:val="en-US"/>
        </w:rPr>
        <w:t>rRNA</w:t>
      </w:r>
      <w:proofErr w:type="spellEnd"/>
      <w:r>
        <w:rPr>
          <w:rFonts w:cstheme="minorHAnsi"/>
          <w:lang w:val="en-US"/>
        </w:rPr>
        <w:t xml:space="preserve"> Removal Kit (Plant Leaf), Illumina) and 1 µg for root samples (</w:t>
      </w:r>
      <w:proofErr w:type="spellStart"/>
      <w:r>
        <w:rPr>
          <w:rFonts w:cstheme="minorHAnsi"/>
          <w:lang w:val="en-US"/>
        </w:rPr>
        <w:t>Ribo</w:t>
      </w:r>
      <w:proofErr w:type="spellEnd"/>
      <w:r>
        <w:rPr>
          <w:rFonts w:cstheme="minorHAnsi"/>
          <w:lang w:val="en-US"/>
        </w:rPr>
        <w:t xml:space="preserve">-Zero </w:t>
      </w:r>
      <w:proofErr w:type="spellStart"/>
      <w:r>
        <w:rPr>
          <w:rFonts w:cstheme="minorHAnsi"/>
          <w:lang w:val="en-US"/>
        </w:rPr>
        <w:t>rRNA</w:t>
      </w:r>
      <w:proofErr w:type="spellEnd"/>
      <w:r>
        <w:rPr>
          <w:rFonts w:cstheme="minorHAnsi"/>
          <w:lang w:val="en-US"/>
        </w:rPr>
        <w:t xml:space="preserve"> Removal Kit (Plant Seed/Root), Illumina). Directional sequencing libraries were constructed using Illumina’s </w:t>
      </w:r>
      <w:proofErr w:type="spellStart"/>
      <w:r>
        <w:rPr>
          <w:rFonts w:cstheme="minorHAnsi"/>
          <w:lang w:val="en-US"/>
        </w:rPr>
        <w:t>ScriptSeq</w:t>
      </w:r>
      <w:proofErr w:type="spellEnd"/>
      <w:r>
        <w:rPr>
          <w:rFonts w:cstheme="minorHAnsi"/>
          <w:lang w:val="en-US"/>
        </w:rPr>
        <w:t xml:space="preserve"> RNA Library Prep Kit. For this purpose, both mRNA and long non-coding RNA were sequenced from the samples. The resulting </w:t>
      </w:r>
      <w:r>
        <w:rPr>
          <w:rFonts w:eastAsia="Noto Serif CJK SC" w:cstheme="minorHAnsi"/>
          <w:lang w:val="en-US" w:bidi="hi-IN"/>
        </w:rPr>
        <w:t>libra</w:t>
      </w:r>
      <w:r>
        <w:rPr>
          <w:rFonts w:eastAsia="Noto Serif CJK SC" w:cstheme="minorHAnsi"/>
          <w:lang w:val="en-US" w:bidi="hi-IN"/>
        </w:rPr>
        <w:t>ries</w:t>
      </w:r>
      <w:r>
        <w:rPr>
          <w:rFonts w:cstheme="minorHAnsi"/>
          <w:lang w:val="en-US"/>
        </w:rPr>
        <w:t xml:space="preserve"> were multiplexed and sequenced on an Illumina </w:t>
      </w:r>
      <w:proofErr w:type="spellStart"/>
      <w:r>
        <w:rPr>
          <w:rFonts w:cstheme="minorHAnsi"/>
          <w:lang w:val="en-US"/>
        </w:rPr>
        <w:t>NovaSeq</w:t>
      </w:r>
      <w:proofErr w:type="spellEnd"/>
      <w:r>
        <w:rPr>
          <w:rFonts w:cstheme="minorHAnsi"/>
          <w:lang w:val="en-US"/>
        </w:rPr>
        <w:t xml:space="preserve"> S1 flow cell 300 cycle flow cell (2x151 bp paired-end reads). </w:t>
      </w:r>
    </w:p>
    <w:p w14:paraId="7A4075E2" w14:textId="77777777" w:rsidR="002E40E1" w:rsidRPr="004D1F86" w:rsidRDefault="002E40E1">
      <w:pPr>
        <w:spacing w:line="360" w:lineRule="auto"/>
        <w:jc w:val="both"/>
        <w:rPr>
          <w:lang w:val="en-US"/>
        </w:rPr>
      </w:pPr>
    </w:p>
    <w:p w14:paraId="15F75F9B" w14:textId="7051D812" w:rsidR="002E40E1" w:rsidRDefault="00B2409D">
      <w:pPr>
        <w:spacing w:line="360" w:lineRule="auto"/>
        <w:jc w:val="both"/>
        <w:rPr>
          <w:rFonts w:cstheme="minorHAnsi"/>
          <w:b/>
          <w:bCs/>
          <w:lang w:val="en-US"/>
        </w:rPr>
      </w:pPr>
      <w:r>
        <w:rPr>
          <w:rFonts w:cstheme="minorHAnsi"/>
          <w:b/>
          <w:bCs/>
          <w:lang w:val="en-US"/>
        </w:rPr>
        <w:t>Assembly, transcript annotation and model construction</w:t>
      </w:r>
    </w:p>
    <w:p w14:paraId="4E1B8491" w14:textId="77777777" w:rsidR="002E40E1" w:rsidRDefault="00B2409D">
      <w:pPr>
        <w:spacing w:line="360" w:lineRule="auto"/>
        <w:jc w:val="both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The genome-guided Trinity </w:t>
      </w:r>
      <w:r>
        <w:rPr>
          <w:rFonts w:cstheme="minorHAnsi"/>
          <w:i/>
          <w:iCs/>
          <w:lang w:val="en-US"/>
        </w:rPr>
        <w:t>de novo</w:t>
      </w:r>
      <w:r>
        <w:rPr>
          <w:rFonts w:cstheme="minorHAnsi"/>
          <w:lang w:val="en-US"/>
        </w:rPr>
        <w:t xml:space="preserve"> assembly (Haas et al., 2013) was constructed</w:t>
      </w:r>
      <w:r>
        <w:rPr>
          <w:rFonts w:cstheme="minorHAnsi"/>
          <w:lang w:val="en-US"/>
        </w:rPr>
        <w:t xml:space="preserve"> with the NCBI reference genome DPV01 (</w:t>
      </w:r>
      <w:proofErr w:type="spellStart"/>
      <w:r>
        <w:rPr>
          <w:rFonts w:cstheme="minorHAnsi"/>
          <w:lang w:val="en-US"/>
        </w:rPr>
        <w:t>Khalas</w:t>
      </w:r>
      <w:proofErr w:type="spellEnd"/>
      <w:r>
        <w:rPr>
          <w:rFonts w:cstheme="minorHAnsi"/>
          <w:lang w:val="en-US"/>
        </w:rPr>
        <w:t xml:space="preserve">) using default parameters and resulted in 82,472 transcripts. The transcripts were annotated by the AHRD pipeline (https://github.com/groupschoof/AHRD) and </w:t>
      </w:r>
      <w:proofErr w:type="spellStart"/>
      <w:r>
        <w:rPr>
          <w:rFonts w:cstheme="minorHAnsi"/>
          <w:lang w:val="en-US"/>
        </w:rPr>
        <w:t>MapMan</w:t>
      </w:r>
      <w:proofErr w:type="spellEnd"/>
      <w:r>
        <w:rPr>
          <w:rFonts w:cstheme="minorHAnsi"/>
          <w:lang w:val="en-US"/>
        </w:rPr>
        <w:t xml:space="preserve"> BINs (</w:t>
      </w:r>
      <w:proofErr w:type="spellStart"/>
      <w:r>
        <w:rPr>
          <w:rFonts w:cstheme="minorHAnsi"/>
          <w:lang w:val="en-US"/>
        </w:rPr>
        <w:t>Schwacke</w:t>
      </w:r>
      <w:proofErr w:type="spellEnd"/>
      <w:r>
        <w:rPr>
          <w:rFonts w:cstheme="minorHAnsi"/>
          <w:lang w:val="en-US"/>
        </w:rPr>
        <w:t xml:space="preserve"> et al., 2019).</w:t>
      </w:r>
    </w:p>
    <w:p w14:paraId="10B97E8D" w14:textId="6838EA7E" w:rsidR="002E40E1" w:rsidRDefault="00B2409D">
      <w:pPr>
        <w:spacing w:line="360" w:lineRule="auto"/>
        <w:jc w:val="both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With </w:t>
      </w:r>
      <w:proofErr w:type="spellStart"/>
      <w:r>
        <w:rPr>
          <w:rFonts w:cstheme="minorHAnsi"/>
          <w:lang w:val="en-US"/>
        </w:rPr>
        <w:t>EdgeR</w:t>
      </w:r>
      <w:proofErr w:type="spellEnd"/>
      <w:r>
        <w:rPr>
          <w:rFonts w:cstheme="minorHAnsi"/>
          <w:lang w:val="en-US"/>
        </w:rPr>
        <w:t xml:space="preserve"> (Robin</w:t>
      </w:r>
      <w:r>
        <w:rPr>
          <w:rFonts w:cstheme="minorHAnsi"/>
          <w:lang w:val="en-US"/>
        </w:rPr>
        <w:t>son et al., 2010), a generalized linear model (GLM) using the design “</w:t>
      </w:r>
      <w:proofErr w:type="spellStart"/>
      <w:proofErr w:type="gramStart"/>
      <w:r>
        <w:rPr>
          <w:rFonts w:cstheme="minorHAnsi"/>
          <w:lang w:val="en-US"/>
        </w:rPr>
        <w:t>model.matrix</w:t>
      </w:r>
      <w:proofErr w:type="spellEnd"/>
      <w:proofErr w:type="gramEnd"/>
      <w:r>
        <w:rPr>
          <w:rFonts w:cstheme="minorHAnsi"/>
          <w:lang w:val="en-US"/>
        </w:rPr>
        <w:t>(~0+Group)” was applied to identify differences between root (</w:t>
      </w:r>
      <w:proofErr w:type="spellStart"/>
      <w:r>
        <w:rPr>
          <w:rFonts w:cstheme="minorHAnsi"/>
          <w:lang w:val="en-US"/>
        </w:rPr>
        <w:t>root_salt_K</w:t>
      </w:r>
      <w:proofErr w:type="spellEnd"/>
      <w:r>
        <w:rPr>
          <w:rFonts w:cstheme="minorHAnsi"/>
          <w:lang w:val="en-US"/>
        </w:rPr>
        <w:t xml:space="preserve"> – </w:t>
      </w:r>
      <w:proofErr w:type="spellStart"/>
      <w:r>
        <w:rPr>
          <w:rFonts w:cstheme="minorHAnsi"/>
          <w:lang w:val="en-US"/>
        </w:rPr>
        <w:t>root_ctrl_K</w:t>
      </w:r>
      <w:proofErr w:type="spellEnd"/>
      <w:r>
        <w:rPr>
          <w:rFonts w:cstheme="minorHAnsi"/>
          <w:lang w:val="en-US"/>
        </w:rPr>
        <w:t>) and leaves (</w:t>
      </w:r>
      <w:proofErr w:type="spellStart"/>
      <w:r>
        <w:rPr>
          <w:rFonts w:cstheme="minorHAnsi"/>
          <w:lang w:val="en-US"/>
        </w:rPr>
        <w:t>shoot_salt_K</w:t>
      </w:r>
      <w:proofErr w:type="spellEnd"/>
      <w:r>
        <w:rPr>
          <w:rFonts w:cstheme="minorHAnsi"/>
          <w:lang w:val="en-US"/>
        </w:rPr>
        <w:t xml:space="preserve"> – </w:t>
      </w:r>
      <w:proofErr w:type="spellStart"/>
      <w:r>
        <w:rPr>
          <w:rFonts w:cstheme="minorHAnsi"/>
          <w:lang w:val="en-US"/>
        </w:rPr>
        <w:t>shoot_ctrl_K</w:t>
      </w:r>
      <w:proofErr w:type="spellEnd"/>
      <w:r>
        <w:rPr>
          <w:rFonts w:cstheme="minorHAnsi"/>
          <w:lang w:val="en-US"/>
        </w:rPr>
        <w:t>). Genes were considered as differentially exp</w:t>
      </w:r>
      <w:r>
        <w:rPr>
          <w:rFonts w:cstheme="minorHAnsi"/>
          <w:lang w:val="en-US"/>
        </w:rPr>
        <w:t xml:space="preserve">ressed when the adjusted p-value (FDR, False Discovery Rate) was below 0.05. </w:t>
      </w:r>
    </w:p>
    <w:p w14:paraId="3738B2D3" w14:textId="77777777" w:rsidR="002E40E1" w:rsidRDefault="002E40E1">
      <w:pPr>
        <w:spacing w:line="360" w:lineRule="auto"/>
        <w:jc w:val="both"/>
        <w:rPr>
          <w:rFonts w:cstheme="minorHAnsi"/>
          <w:lang w:val="en-US"/>
        </w:rPr>
      </w:pPr>
    </w:p>
    <w:p w14:paraId="15312D0F" w14:textId="77777777" w:rsidR="002E40E1" w:rsidRDefault="00B2409D">
      <w:pPr>
        <w:spacing w:line="360" w:lineRule="auto"/>
        <w:jc w:val="both"/>
        <w:rPr>
          <w:rFonts w:cstheme="minorHAnsi"/>
          <w:b/>
          <w:bCs/>
          <w:lang w:val="en-US"/>
        </w:rPr>
      </w:pPr>
      <w:r>
        <w:rPr>
          <w:rFonts w:cstheme="minorHAnsi"/>
          <w:b/>
          <w:bCs/>
          <w:lang w:val="en-US"/>
        </w:rPr>
        <w:t xml:space="preserve">Enrichment of </w:t>
      </w:r>
      <w:proofErr w:type="spellStart"/>
      <w:r>
        <w:rPr>
          <w:rFonts w:cstheme="minorHAnsi"/>
          <w:b/>
          <w:bCs/>
          <w:lang w:val="en-US"/>
        </w:rPr>
        <w:t>MapMan</w:t>
      </w:r>
      <w:proofErr w:type="spellEnd"/>
      <w:r>
        <w:rPr>
          <w:rFonts w:cstheme="minorHAnsi"/>
          <w:b/>
          <w:bCs/>
          <w:lang w:val="en-US"/>
        </w:rPr>
        <w:t xml:space="preserve"> BINs, GO and KEGG terms</w:t>
      </w:r>
    </w:p>
    <w:p w14:paraId="1A9A5B37" w14:textId="3130FB28" w:rsidR="002E40E1" w:rsidRDefault="00B2409D">
      <w:pPr>
        <w:spacing w:line="360" w:lineRule="auto"/>
        <w:jc w:val="both"/>
        <w:rPr>
          <w:rFonts w:cstheme="minorHAnsi"/>
          <w:lang w:val="en-US"/>
        </w:rPr>
      </w:pPr>
      <w:r>
        <w:rPr>
          <w:rFonts w:eastAsia="Calibri" w:cstheme="minorHAnsi"/>
          <w:color w:val="000000"/>
          <w:lang w:val="en-US"/>
        </w:rPr>
        <w:t>We analyzed the affected metabolic pathways and Gene Ontology (GO) terms (</w:t>
      </w:r>
      <w:proofErr w:type="spellStart"/>
      <w:r>
        <w:rPr>
          <w:rFonts w:eastAsia="Calibri" w:cstheme="minorHAnsi"/>
          <w:color w:val="000000"/>
          <w:lang w:val="en-US"/>
        </w:rPr>
        <w:t>MapMan</w:t>
      </w:r>
      <w:proofErr w:type="spellEnd"/>
      <w:r>
        <w:rPr>
          <w:rFonts w:eastAsia="Calibri" w:cstheme="minorHAnsi"/>
          <w:color w:val="000000"/>
          <w:lang w:val="en-US"/>
        </w:rPr>
        <w:t>: Table S1; KEGG and GO: Table S4) to provide furthe</w:t>
      </w:r>
      <w:r>
        <w:rPr>
          <w:rFonts w:eastAsia="Calibri" w:cstheme="minorHAnsi"/>
          <w:color w:val="000000"/>
          <w:lang w:val="en-US"/>
        </w:rPr>
        <w:t xml:space="preserve">r information for the reader. The KEGG (Kyoto Encyclopedia of Genes and Genomes) pathway enrichment was performed with </w:t>
      </w:r>
      <w:proofErr w:type="spellStart"/>
      <w:r>
        <w:rPr>
          <w:rFonts w:eastAsia="Calibri" w:cstheme="minorHAnsi"/>
          <w:color w:val="000000"/>
          <w:lang w:val="en-US"/>
        </w:rPr>
        <w:t>EdgeR</w:t>
      </w:r>
      <w:proofErr w:type="spellEnd"/>
      <w:r>
        <w:rPr>
          <w:rFonts w:eastAsia="Calibri" w:cstheme="minorHAnsi"/>
          <w:color w:val="000000"/>
          <w:lang w:val="en-US"/>
        </w:rPr>
        <w:t xml:space="preserve"> (Robinson et al., 2010) using orthologous </w:t>
      </w:r>
      <w:r>
        <w:rPr>
          <w:rFonts w:eastAsia="Calibri" w:cstheme="minorHAnsi"/>
          <w:i/>
          <w:iCs/>
          <w:color w:val="000000"/>
          <w:lang w:val="en-US"/>
        </w:rPr>
        <w:t>Arabidopsis</w:t>
      </w:r>
      <w:r>
        <w:rPr>
          <w:rFonts w:eastAsia="Calibri" w:cstheme="minorHAnsi"/>
          <w:color w:val="000000"/>
          <w:lang w:val="en-US"/>
        </w:rPr>
        <w:t xml:space="preserve"> gene IDs. The gene ontology (GO) term enrichment was done with the R-package </w:t>
      </w:r>
      <w:proofErr w:type="spellStart"/>
      <w:r>
        <w:rPr>
          <w:rFonts w:eastAsia="Calibri" w:cstheme="minorHAnsi"/>
          <w:color w:val="000000"/>
          <w:lang w:val="en-US"/>
        </w:rPr>
        <w:t>topGO</w:t>
      </w:r>
      <w:proofErr w:type="spellEnd"/>
      <w:r>
        <w:rPr>
          <w:rFonts w:eastAsia="Calibri" w:cstheme="minorHAnsi"/>
          <w:color w:val="000000"/>
          <w:lang w:val="en-US"/>
        </w:rPr>
        <w:t xml:space="preserve"> (Alexa et al., 2006) using the methods </w:t>
      </w:r>
      <w:proofErr w:type="spellStart"/>
      <w:r>
        <w:rPr>
          <w:rFonts w:eastAsia="Calibri" w:cstheme="minorHAnsi"/>
          <w:i/>
          <w:iCs/>
          <w:color w:val="000000"/>
          <w:lang w:val="en-US"/>
        </w:rPr>
        <w:t>elim</w:t>
      </w:r>
      <w:proofErr w:type="spellEnd"/>
      <w:r>
        <w:rPr>
          <w:rFonts w:eastAsia="Calibri" w:cstheme="minorHAnsi"/>
          <w:color w:val="000000"/>
          <w:lang w:val="en-US"/>
        </w:rPr>
        <w:t xml:space="preserve">, </w:t>
      </w:r>
      <w:r>
        <w:rPr>
          <w:rFonts w:eastAsia="Calibri" w:cstheme="minorHAnsi"/>
          <w:i/>
          <w:iCs/>
          <w:color w:val="000000"/>
          <w:lang w:val="en-US"/>
        </w:rPr>
        <w:t>classic</w:t>
      </w:r>
      <w:r>
        <w:rPr>
          <w:rFonts w:eastAsia="Calibri" w:cstheme="minorHAnsi"/>
          <w:color w:val="000000"/>
          <w:lang w:val="en-US"/>
        </w:rPr>
        <w:t xml:space="preserve"> and </w:t>
      </w:r>
      <w:r>
        <w:rPr>
          <w:rFonts w:eastAsia="Calibri" w:cstheme="minorHAnsi"/>
          <w:i/>
          <w:iCs/>
          <w:color w:val="000000"/>
          <w:lang w:val="en-US"/>
        </w:rPr>
        <w:t>weight</w:t>
      </w:r>
      <w:r>
        <w:rPr>
          <w:rFonts w:eastAsia="Calibri" w:cstheme="minorHAnsi"/>
          <w:color w:val="000000"/>
          <w:lang w:val="en-US"/>
        </w:rPr>
        <w:t xml:space="preserve">. The </w:t>
      </w:r>
      <w:proofErr w:type="spellStart"/>
      <w:r>
        <w:rPr>
          <w:rFonts w:eastAsia="Calibri" w:cstheme="minorHAnsi"/>
          <w:i/>
          <w:iCs/>
          <w:color w:val="000000"/>
          <w:lang w:val="en-US"/>
        </w:rPr>
        <w:t>elim</w:t>
      </w:r>
      <w:proofErr w:type="spellEnd"/>
      <w:r>
        <w:rPr>
          <w:rFonts w:eastAsia="Calibri" w:cstheme="minorHAnsi"/>
          <w:color w:val="000000"/>
          <w:lang w:val="en-US"/>
        </w:rPr>
        <w:t xml:space="preserve"> method was applied for the final enrichment. Heatmaps were drawn with the R-package </w:t>
      </w:r>
      <w:proofErr w:type="spellStart"/>
      <w:r>
        <w:rPr>
          <w:rFonts w:eastAsia="Calibri" w:cstheme="minorHAnsi"/>
          <w:color w:val="000000"/>
          <w:lang w:val="en-US"/>
        </w:rPr>
        <w:t>pheatmap</w:t>
      </w:r>
      <w:proofErr w:type="spellEnd"/>
      <w:r>
        <w:rPr>
          <w:rFonts w:eastAsia="Calibri" w:cstheme="minorHAnsi"/>
          <w:color w:val="000000"/>
          <w:lang w:val="en-US"/>
        </w:rPr>
        <w:t xml:space="preserve"> (</w:t>
      </w:r>
      <w:hyperlink r:id="rId4">
        <w:r>
          <w:rPr>
            <w:rStyle w:val="Hyperlink"/>
            <w:rFonts w:eastAsia="Calibri" w:cstheme="minorHAnsi"/>
            <w:color w:val="000000"/>
            <w:lang w:val="en-US"/>
          </w:rPr>
          <w:t>https://www.rdocumentation.org/packages/pheatmap/versions/1.0.12/topics/pheatmap</w:t>
        </w:r>
      </w:hyperlink>
      <w:r>
        <w:rPr>
          <w:rFonts w:eastAsia="Calibri" w:cstheme="minorHAnsi"/>
          <w:color w:val="000000"/>
          <w:lang w:val="en-US"/>
        </w:rPr>
        <w:t>) using colors according to -log10(p-value) for significant terms.</w:t>
      </w:r>
    </w:p>
    <w:p w14:paraId="1EECB306" w14:textId="686EE155" w:rsidR="004D1F86" w:rsidRDefault="004D1F86">
      <w:pPr>
        <w:spacing w:line="360" w:lineRule="auto"/>
        <w:jc w:val="both"/>
        <w:rPr>
          <w:rFonts w:cstheme="minorHAnsi"/>
          <w:lang w:val="en-US"/>
        </w:rPr>
      </w:pPr>
      <w:bookmarkStart w:id="0" w:name="_GoBack"/>
      <w:bookmarkEnd w:id="0"/>
    </w:p>
    <w:p w14:paraId="61244576" w14:textId="77777777" w:rsidR="002E40E1" w:rsidRDefault="002E40E1">
      <w:pPr>
        <w:spacing w:line="360" w:lineRule="auto"/>
        <w:jc w:val="both"/>
        <w:rPr>
          <w:rFonts w:cstheme="minorHAnsi"/>
          <w:lang w:val="en-US"/>
        </w:rPr>
      </w:pPr>
    </w:p>
    <w:p w14:paraId="47899C54" w14:textId="77777777" w:rsidR="002E40E1" w:rsidRPr="004D1F86" w:rsidRDefault="00B2409D">
      <w:pPr>
        <w:spacing w:line="360" w:lineRule="auto"/>
        <w:jc w:val="both"/>
        <w:rPr>
          <w:b/>
          <w:bCs/>
          <w:lang w:val="en-US"/>
        </w:rPr>
      </w:pPr>
      <w:r>
        <w:rPr>
          <w:rFonts w:cstheme="minorHAnsi"/>
          <w:b/>
          <w:bCs/>
          <w:lang w:val="en-US"/>
        </w:rPr>
        <w:lastRenderedPageBreak/>
        <w:t>Flame photometry sample preparation</w:t>
      </w:r>
    </w:p>
    <w:p w14:paraId="053F21E7" w14:textId="77777777" w:rsidR="002E40E1" w:rsidRDefault="00B2409D">
      <w:pPr>
        <w:spacing w:line="360" w:lineRule="auto"/>
        <w:jc w:val="both"/>
        <w:rPr>
          <w:rFonts w:cstheme="minorHAnsi"/>
          <w:lang w:val="en-US"/>
        </w:rPr>
      </w:pPr>
      <w:r>
        <w:rPr>
          <w:rFonts w:cstheme="minorHAnsi"/>
          <w:lang w:val="en-US"/>
        </w:rPr>
        <w:t>The plant material was dri</w:t>
      </w:r>
      <w:r>
        <w:rPr>
          <w:rFonts w:cstheme="minorHAnsi"/>
          <w:lang w:val="en-US"/>
        </w:rPr>
        <w:t>ed for 2 days at 60°C and the dry weight was measured. After grinding, 50 mg of each sample were used for acid digestion with 5 ml of 0.5 M HNO</w:t>
      </w:r>
      <w:r>
        <w:rPr>
          <w:rFonts w:cstheme="minorHAnsi"/>
          <w:vertAlign w:val="subscript"/>
          <w:lang w:val="en-US"/>
        </w:rPr>
        <w:t>3</w:t>
      </w:r>
      <w:r>
        <w:rPr>
          <w:rFonts w:cstheme="minorHAnsi"/>
          <w:lang w:val="en-US"/>
        </w:rPr>
        <w:t>. For extracting the ions, samples were incubated at 80°C for 1 h (Munns et al., 2010). After acid digestion, sa</w:t>
      </w:r>
      <w:r>
        <w:rPr>
          <w:rFonts w:cstheme="minorHAnsi"/>
          <w:lang w:val="en-US"/>
        </w:rPr>
        <w:t>mples were centrifuged at 4,000 g for 20 min. Supernatants were transferred into new tubes and diluted before measurement.</w:t>
      </w:r>
    </w:p>
    <w:p w14:paraId="62045729" w14:textId="77777777" w:rsidR="002E40E1" w:rsidRDefault="00B2409D">
      <w:pPr>
        <w:spacing w:line="360" w:lineRule="auto"/>
        <w:jc w:val="both"/>
        <w:rPr>
          <w:rFonts w:cstheme="minorHAnsi"/>
          <w:lang w:val="en-GB"/>
        </w:rPr>
      </w:pPr>
      <w:r>
        <w:rPr>
          <w:rFonts w:cstheme="minorHAnsi"/>
          <w:lang w:val="en-US"/>
        </w:rPr>
        <w:t>Each sample was measured three times and the values averaged. By measuring standard solutions, the concentration was calculated and r</w:t>
      </w:r>
      <w:r>
        <w:rPr>
          <w:rFonts w:cstheme="minorHAnsi"/>
          <w:lang w:val="en-US"/>
        </w:rPr>
        <w:t>elated to dry weight.</w:t>
      </w:r>
    </w:p>
    <w:p w14:paraId="5B909B3B" w14:textId="799CA8AB" w:rsidR="002E40E1" w:rsidRDefault="002E40E1">
      <w:pPr>
        <w:spacing w:line="360" w:lineRule="auto"/>
        <w:jc w:val="both"/>
        <w:rPr>
          <w:lang w:val="en-US"/>
        </w:rPr>
      </w:pPr>
    </w:p>
    <w:p w14:paraId="09FFB0DE" w14:textId="77777777" w:rsidR="004D1F86" w:rsidRPr="004D1F86" w:rsidRDefault="004D1F86">
      <w:pPr>
        <w:spacing w:line="360" w:lineRule="auto"/>
        <w:jc w:val="both"/>
        <w:rPr>
          <w:lang w:val="en-US"/>
        </w:rPr>
      </w:pPr>
    </w:p>
    <w:p w14:paraId="55A01062" w14:textId="77777777" w:rsidR="002E40E1" w:rsidRDefault="00B2409D">
      <w:pPr>
        <w:spacing w:line="360" w:lineRule="auto"/>
        <w:jc w:val="both"/>
        <w:rPr>
          <w:lang w:val="en-US"/>
        </w:rPr>
      </w:pPr>
      <w:r>
        <w:rPr>
          <w:rFonts w:cstheme="minorHAnsi"/>
          <w:b/>
          <w:bCs/>
          <w:lang w:val="en-US"/>
        </w:rPr>
        <w:t>Element analysis</w:t>
      </w:r>
    </w:p>
    <w:p w14:paraId="78A1534B" w14:textId="77777777" w:rsidR="002E40E1" w:rsidRDefault="00B2409D">
      <w:pPr>
        <w:pStyle w:val="western"/>
        <w:spacing w:after="0" w:line="360" w:lineRule="auto"/>
        <w:jc w:val="both"/>
        <w:rPr>
          <w:rFonts w:asciiTheme="minorHAnsi" w:hAnsiTheme="minorHAnsi" w:cstheme="minorHAnsi"/>
          <w:lang w:val="en-GB"/>
        </w:rPr>
      </w:pPr>
      <w:r>
        <w:rPr>
          <w:rFonts w:cstheme="minorHAnsi"/>
          <w:color w:val="201F1E"/>
          <w:shd w:val="clear" w:color="auto" w:fill="FFFFFF"/>
          <w:lang w:val="en-US"/>
        </w:rPr>
        <w:t>Freeze dried tissue samples were placed in an oven at 70°C overnight before analysis. About 50 mg dried subsamples were weighed and digested in closed vessels using a microwave digester (MARS Xpress; CEM Microwave T</w:t>
      </w:r>
      <w:r>
        <w:rPr>
          <w:rFonts w:cstheme="minorHAnsi"/>
          <w:color w:val="201F1E"/>
          <w:shd w:val="clear" w:color="auto" w:fill="FFFFFF"/>
          <w:lang w:val="en-US"/>
        </w:rPr>
        <w:t xml:space="preserve">echnology, Buckingham, UK). Samples were first digested with 3 ml concentrated </w:t>
      </w:r>
      <w:r>
        <w:rPr>
          <w:rFonts w:cstheme="minorHAnsi"/>
          <w:lang w:val="en-US"/>
        </w:rPr>
        <w:t>HNO</w:t>
      </w:r>
      <w:r>
        <w:rPr>
          <w:rFonts w:cstheme="minorHAnsi"/>
          <w:vertAlign w:val="subscript"/>
          <w:lang w:val="en-US"/>
        </w:rPr>
        <w:t>3</w:t>
      </w:r>
      <w:r>
        <w:rPr>
          <w:rFonts w:cstheme="minorHAnsi"/>
          <w:lang w:val="en-US"/>
        </w:rPr>
        <w:t xml:space="preserve"> </w:t>
      </w:r>
      <w:r>
        <w:rPr>
          <w:rFonts w:cstheme="minorHAnsi"/>
          <w:color w:val="201F1E"/>
          <w:shd w:val="clear" w:color="auto" w:fill="FFFFFF"/>
          <w:lang w:val="en-US"/>
        </w:rPr>
        <w:t>before the addition of 1 ml of 30% H</w:t>
      </w:r>
      <w:r>
        <w:rPr>
          <w:rFonts w:cstheme="minorHAnsi"/>
          <w:color w:val="201F1E"/>
          <w:shd w:val="clear" w:color="auto" w:fill="FFFFFF"/>
          <w:vertAlign w:val="subscript"/>
          <w:lang w:val="en-US"/>
        </w:rPr>
        <w:t>2</w:t>
      </w:r>
      <w:r>
        <w:rPr>
          <w:rFonts w:cstheme="minorHAnsi"/>
          <w:color w:val="201F1E"/>
          <w:shd w:val="clear" w:color="auto" w:fill="FFFFFF"/>
          <w:lang w:val="en-US"/>
        </w:rPr>
        <w:t>O</w:t>
      </w:r>
      <w:r>
        <w:rPr>
          <w:rFonts w:cstheme="minorHAnsi"/>
          <w:color w:val="201F1E"/>
          <w:shd w:val="clear" w:color="auto" w:fill="FFFFFF"/>
          <w:vertAlign w:val="subscript"/>
          <w:lang w:val="en-US"/>
        </w:rPr>
        <w:t>2</w:t>
      </w:r>
      <w:r>
        <w:rPr>
          <w:rFonts w:cstheme="minorHAnsi"/>
          <w:color w:val="201F1E"/>
          <w:shd w:val="clear" w:color="auto" w:fill="FFFFFF"/>
          <w:lang w:val="en-US"/>
        </w:rPr>
        <w:t xml:space="preserve"> to complete digestion. Digested samples were diluted to 50 ml with sterile </w:t>
      </w:r>
      <w:proofErr w:type="spellStart"/>
      <w:r>
        <w:rPr>
          <w:rFonts w:cstheme="minorHAnsi"/>
          <w:color w:val="201F1E"/>
          <w:shd w:val="clear" w:color="auto" w:fill="FFFFFF"/>
          <w:lang w:val="en-US"/>
        </w:rPr>
        <w:t>MilliQ</w:t>
      </w:r>
      <w:proofErr w:type="spellEnd"/>
      <w:r>
        <w:rPr>
          <w:rFonts w:cstheme="minorHAnsi"/>
          <w:color w:val="201F1E"/>
          <w:shd w:val="clear" w:color="auto" w:fill="FFFFFF"/>
          <w:lang w:val="en-US"/>
        </w:rPr>
        <w:t xml:space="preserve"> water before element analyses. Total K, Ca, Mg, P, S, Na, Cl, Fe, Mn, Zn, Cu and Ni concentrations were determined on digested material by ICP-MS (</w:t>
      </w:r>
      <w:proofErr w:type="spellStart"/>
      <w:r>
        <w:rPr>
          <w:rFonts w:cstheme="minorHAnsi"/>
          <w:color w:val="201F1E"/>
          <w:shd w:val="clear" w:color="auto" w:fill="FFFFFF"/>
          <w:lang w:val="en-US"/>
        </w:rPr>
        <w:t>Nexion</w:t>
      </w:r>
      <w:proofErr w:type="spellEnd"/>
      <w:r>
        <w:rPr>
          <w:rFonts w:cstheme="minorHAnsi"/>
          <w:color w:val="201F1E"/>
          <w:shd w:val="clear" w:color="auto" w:fill="FFFFFF"/>
          <w:lang w:val="en-US"/>
        </w:rPr>
        <w:t xml:space="preserve"> 1000, PerkinElmer, Waltham, MA, USA). Blank digestions were performed to determine background concent</w:t>
      </w:r>
      <w:r>
        <w:rPr>
          <w:rFonts w:cstheme="minorHAnsi"/>
          <w:color w:val="201F1E"/>
          <w:shd w:val="clear" w:color="auto" w:fill="FFFFFF"/>
          <w:lang w:val="en-US"/>
        </w:rPr>
        <w:t>rations of elements and a tomato leaf standard (Reference 1573a; National Institute of Standards and Technology, NIST, Gaithersburg, MD, USA) was used as an analytical control.</w:t>
      </w:r>
    </w:p>
    <w:p w14:paraId="60056053" w14:textId="77777777" w:rsidR="002E40E1" w:rsidRPr="004D1F86" w:rsidRDefault="002E40E1">
      <w:pPr>
        <w:spacing w:line="360" w:lineRule="auto"/>
        <w:jc w:val="both"/>
        <w:rPr>
          <w:lang w:val="en-US"/>
        </w:rPr>
      </w:pPr>
    </w:p>
    <w:p w14:paraId="494D4890" w14:textId="77777777" w:rsidR="002E40E1" w:rsidRDefault="00B2409D">
      <w:pPr>
        <w:pStyle w:val="western"/>
        <w:spacing w:after="0" w:line="360" w:lineRule="auto"/>
        <w:jc w:val="both"/>
        <w:rPr>
          <w:rFonts w:asciiTheme="minorHAnsi" w:hAnsiTheme="minorHAnsi" w:cstheme="minorHAnsi"/>
          <w:lang w:val="en-GB"/>
        </w:rPr>
      </w:pPr>
      <w:r>
        <w:rPr>
          <w:rFonts w:cstheme="minorHAnsi"/>
          <w:b/>
          <w:bCs/>
          <w:lang w:val="en-US"/>
        </w:rPr>
        <w:t>Biochemical analyses</w:t>
      </w:r>
    </w:p>
    <w:p w14:paraId="34E5922E" w14:textId="77777777" w:rsidR="002E40E1" w:rsidRDefault="00B2409D">
      <w:pPr>
        <w:pStyle w:val="western"/>
        <w:spacing w:after="0" w:line="360" w:lineRule="auto"/>
        <w:jc w:val="both"/>
        <w:rPr>
          <w:lang w:val="en-US"/>
        </w:rPr>
      </w:pPr>
      <w:r>
        <w:rPr>
          <w:rFonts w:cstheme="minorHAnsi"/>
          <w:lang w:val="en-US"/>
        </w:rPr>
        <w:t>Quantification of total soluble protein and sugar, and de</w:t>
      </w:r>
      <w:r>
        <w:rPr>
          <w:rFonts w:cstheme="minorHAnsi"/>
          <w:lang w:val="en-US"/>
        </w:rPr>
        <w:t>termination of anions</w:t>
      </w:r>
    </w:p>
    <w:p w14:paraId="6625CEB1" w14:textId="77777777" w:rsidR="002E40E1" w:rsidRDefault="00B2409D">
      <w:pPr>
        <w:spacing w:line="360" w:lineRule="auto"/>
        <w:jc w:val="both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Total soluble protein was quantified using the Bradford assay (Du et al., 2014). Soluble sugar was extracted and determined after conversion with the </w:t>
      </w:r>
      <w:proofErr w:type="spellStart"/>
      <w:r>
        <w:rPr>
          <w:rFonts w:cstheme="minorHAnsi"/>
          <w:lang w:val="en-US"/>
        </w:rPr>
        <w:t>anthrone</w:t>
      </w:r>
      <w:proofErr w:type="spellEnd"/>
      <w:r>
        <w:rPr>
          <w:rFonts w:cstheme="minorHAnsi"/>
          <w:lang w:val="en-US"/>
        </w:rPr>
        <w:t xml:space="preserve"> reagent as described previously (Du et al., 2018). The anions nitrate (NO</w:t>
      </w:r>
      <w:r>
        <w:rPr>
          <w:rFonts w:cstheme="minorHAnsi"/>
          <w:vertAlign w:val="subscript"/>
          <w:lang w:val="en-US"/>
        </w:rPr>
        <w:t>3</w:t>
      </w:r>
      <w:r>
        <w:rPr>
          <w:rFonts w:cstheme="minorHAnsi"/>
          <w:vertAlign w:val="superscript"/>
          <w:lang w:val="en-US"/>
        </w:rPr>
        <w:t>-</w:t>
      </w:r>
      <w:r>
        <w:rPr>
          <w:rFonts w:cstheme="minorHAnsi"/>
          <w:lang w:val="en-US"/>
        </w:rPr>
        <w:t>), phosphate (PO</w:t>
      </w:r>
      <w:r>
        <w:rPr>
          <w:rFonts w:cstheme="minorHAnsi"/>
          <w:vertAlign w:val="subscript"/>
          <w:lang w:val="en-US"/>
        </w:rPr>
        <w:t>4</w:t>
      </w:r>
      <w:r>
        <w:rPr>
          <w:rFonts w:cstheme="minorHAnsi"/>
          <w:vertAlign w:val="superscript"/>
          <w:lang w:val="en-US"/>
        </w:rPr>
        <w:t>3-</w:t>
      </w:r>
      <w:r>
        <w:rPr>
          <w:rFonts w:cstheme="minorHAnsi"/>
          <w:lang w:val="en-US"/>
        </w:rPr>
        <w:t>) and sulphate (SO</w:t>
      </w:r>
      <w:r>
        <w:rPr>
          <w:rFonts w:cstheme="minorHAnsi"/>
          <w:vertAlign w:val="subscript"/>
          <w:lang w:val="en-US"/>
        </w:rPr>
        <w:t>4</w:t>
      </w:r>
      <w:r>
        <w:rPr>
          <w:rFonts w:cstheme="minorHAnsi"/>
          <w:vertAlign w:val="superscript"/>
          <w:lang w:val="en-US"/>
        </w:rPr>
        <w:t>2-</w:t>
      </w:r>
      <w:r>
        <w:rPr>
          <w:rFonts w:cstheme="minorHAnsi"/>
          <w:lang w:val="en-US"/>
        </w:rPr>
        <w:t xml:space="preserve">) were determined in aqueous extracts by automated anion chromatography and pulsed </w:t>
      </w:r>
      <w:proofErr w:type="spellStart"/>
      <w:r>
        <w:rPr>
          <w:rFonts w:cstheme="minorHAnsi"/>
          <w:lang w:val="en-US"/>
        </w:rPr>
        <w:t>amperometric</w:t>
      </w:r>
      <w:proofErr w:type="spellEnd"/>
      <w:r>
        <w:rPr>
          <w:rFonts w:cstheme="minorHAnsi"/>
          <w:lang w:val="en-US"/>
        </w:rPr>
        <w:t xml:space="preserve"> detection (</w:t>
      </w:r>
      <w:proofErr w:type="spellStart"/>
      <w:r>
        <w:rPr>
          <w:rFonts w:cstheme="minorHAnsi"/>
          <w:lang w:val="en-US"/>
        </w:rPr>
        <w:t>Peuke</w:t>
      </w:r>
      <w:proofErr w:type="spellEnd"/>
      <w:r>
        <w:rPr>
          <w:rFonts w:cstheme="minorHAnsi"/>
          <w:lang w:val="en-US"/>
        </w:rPr>
        <w:t xml:space="preserve"> et al., 2006).</w:t>
      </w:r>
    </w:p>
    <w:p w14:paraId="5377504A" w14:textId="77777777" w:rsidR="002E40E1" w:rsidRDefault="002E40E1">
      <w:pPr>
        <w:spacing w:line="360" w:lineRule="auto"/>
        <w:jc w:val="both"/>
        <w:rPr>
          <w:lang w:val="en-US"/>
        </w:rPr>
      </w:pPr>
    </w:p>
    <w:p w14:paraId="2350079E" w14:textId="77777777" w:rsidR="002E40E1" w:rsidRDefault="00B2409D">
      <w:pPr>
        <w:spacing w:line="360" w:lineRule="auto"/>
        <w:jc w:val="both"/>
        <w:rPr>
          <w:rFonts w:eastAsia="Times New Roman" w:cstheme="minorHAnsi"/>
          <w:b/>
          <w:bCs/>
          <w:color w:val="000000"/>
          <w:lang w:val="en-US" w:eastAsia="zh-CN"/>
        </w:rPr>
      </w:pPr>
      <w:r>
        <w:rPr>
          <w:rFonts w:eastAsia="Times New Roman" w:cstheme="minorHAnsi"/>
          <w:b/>
          <w:bCs/>
          <w:color w:val="000000"/>
          <w:lang w:val="en-US" w:eastAsia="zh-CN"/>
        </w:rPr>
        <w:lastRenderedPageBreak/>
        <w:t>References</w:t>
      </w:r>
    </w:p>
    <w:p w14:paraId="5040FEFB" w14:textId="77777777" w:rsidR="002E40E1" w:rsidRPr="004D1F86" w:rsidRDefault="00B2409D">
      <w:pPr>
        <w:spacing w:line="360" w:lineRule="auto"/>
        <w:ind w:left="709" w:hanging="709"/>
        <w:jc w:val="both"/>
        <w:rPr>
          <w:rFonts w:cstheme="minorHAnsi"/>
        </w:rPr>
      </w:pPr>
      <w:r>
        <w:rPr>
          <w:rFonts w:cstheme="minorHAnsi"/>
          <w:b/>
          <w:lang w:val="en-US"/>
        </w:rPr>
        <w:t xml:space="preserve">Alexa A, </w:t>
      </w:r>
      <w:proofErr w:type="spellStart"/>
      <w:r>
        <w:rPr>
          <w:rFonts w:cstheme="minorHAnsi"/>
          <w:b/>
          <w:lang w:val="en-US"/>
        </w:rPr>
        <w:t>Rahnenführer</w:t>
      </w:r>
      <w:proofErr w:type="spellEnd"/>
      <w:r>
        <w:rPr>
          <w:rFonts w:cstheme="minorHAnsi"/>
          <w:b/>
          <w:lang w:val="en-US"/>
        </w:rPr>
        <w:t xml:space="preserve"> J, </w:t>
      </w:r>
      <w:proofErr w:type="spellStart"/>
      <w:r>
        <w:rPr>
          <w:rFonts w:cstheme="minorHAnsi"/>
          <w:b/>
          <w:lang w:val="en-US"/>
        </w:rPr>
        <w:t>Lengauer</w:t>
      </w:r>
      <w:proofErr w:type="spellEnd"/>
      <w:r>
        <w:rPr>
          <w:rFonts w:cstheme="minorHAnsi"/>
          <w:b/>
          <w:lang w:val="en-US"/>
        </w:rPr>
        <w:t xml:space="preserve"> T. 2006.</w:t>
      </w:r>
      <w:r>
        <w:rPr>
          <w:rFonts w:cstheme="minorHAnsi"/>
          <w:lang w:val="en-US"/>
        </w:rPr>
        <w:t xml:space="preserve"> Improved scoring of functional groups from gene expression data by decorrelating GO graph structure. </w:t>
      </w:r>
      <w:proofErr w:type="spellStart"/>
      <w:r w:rsidRPr="004D1F86">
        <w:rPr>
          <w:rFonts w:cstheme="minorHAnsi"/>
          <w:i/>
          <w:iCs/>
        </w:rPr>
        <w:t>Bioinformatics</w:t>
      </w:r>
      <w:proofErr w:type="spellEnd"/>
      <w:r w:rsidRPr="004D1F86">
        <w:rPr>
          <w:rFonts w:cstheme="minorHAnsi"/>
        </w:rPr>
        <w:t xml:space="preserve"> </w:t>
      </w:r>
      <w:r w:rsidRPr="004D1F86">
        <w:rPr>
          <w:rFonts w:cstheme="minorHAnsi"/>
          <w:b/>
          <w:bCs/>
        </w:rPr>
        <w:t>22</w:t>
      </w:r>
      <w:r w:rsidRPr="004D1F86">
        <w:rPr>
          <w:rFonts w:cstheme="minorHAnsi"/>
        </w:rPr>
        <w:t>: 1600–1607.</w:t>
      </w:r>
    </w:p>
    <w:p w14:paraId="6882C111" w14:textId="77777777" w:rsidR="002E40E1" w:rsidRDefault="00B2409D">
      <w:pPr>
        <w:spacing w:line="360" w:lineRule="auto"/>
        <w:ind w:left="709" w:hanging="709"/>
        <w:jc w:val="both"/>
        <w:rPr>
          <w:rFonts w:cstheme="minorHAnsi"/>
          <w:lang w:val="en-US"/>
        </w:rPr>
      </w:pPr>
      <w:r>
        <w:rPr>
          <w:rFonts w:cstheme="minorHAnsi"/>
          <w:b/>
        </w:rPr>
        <w:t xml:space="preserve">Du B, Jansen K, Junker LV, </w:t>
      </w:r>
      <w:proofErr w:type="spellStart"/>
      <w:r>
        <w:rPr>
          <w:rFonts w:cstheme="minorHAnsi"/>
          <w:b/>
        </w:rPr>
        <w:t>Eiblmeier</w:t>
      </w:r>
      <w:proofErr w:type="spellEnd"/>
      <w:r>
        <w:rPr>
          <w:rFonts w:cstheme="minorHAnsi"/>
          <w:b/>
        </w:rPr>
        <w:t xml:space="preserve"> M, </w:t>
      </w:r>
      <w:proofErr w:type="spellStart"/>
      <w:r>
        <w:rPr>
          <w:rFonts w:cstheme="minorHAnsi"/>
          <w:b/>
        </w:rPr>
        <w:t>Kreuzwieser</w:t>
      </w:r>
      <w:proofErr w:type="spellEnd"/>
      <w:r>
        <w:rPr>
          <w:rFonts w:cstheme="minorHAnsi"/>
          <w:b/>
        </w:rPr>
        <w:t xml:space="preserve"> J, </w:t>
      </w:r>
      <w:proofErr w:type="spellStart"/>
      <w:r>
        <w:rPr>
          <w:rFonts w:cstheme="minorHAnsi"/>
          <w:b/>
        </w:rPr>
        <w:t>Gessler</w:t>
      </w:r>
      <w:proofErr w:type="spellEnd"/>
      <w:r>
        <w:rPr>
          <w:rFonts w:cstheme="minorHAnsi"/>
          <w:b/>
        </w:rPr>
        <w:t xml:space="preserve"> A, </w:t>
      </w:r>
      <w:proofErr w:type="spellStart"/>
      <w:r>
        <w:rPr>
          <w:rFonts w:cstheme="minorHAnsi"/>
          <w:b/>
        </w:rPr>
        <w:t>Ensminger</w:t>
      </w:r>
      <w:proofErr w:type="spellEnd"/>
      <w:r>
        <w:rPr>
          <w:rFonts w:cstheme="minorHAnsi"/>
          <w:b/>
        </w:rPr>
        <w:t xml:space="preserve"> I, </w:t>
      </w:r>
      <w:proofErr w:type="spellStart"/>
      <w:r>
        <w:rPr>
          <w:rFonts w:cstheme="minorHAnsi"/>
          <w:b/>
        </w:rPr>
        <w:t>Rennenberg</w:t>
      </w:r>
      <w:proofErr w:type="spellEnd"/>
      <w:r>
        <w:rPr>
          <w:rFonts w:cstheme="minorHAnsi"/>
          <w:b/>
        </w:rPr>
        <w:t xml:space="preserve"> H. 2014. </w:t>
      </w:r>
      <w:r>
        <w:rPr>
          <w:rFonts w:cstheme="minorHAnsi"/>
          <w:lang w:val="en-US"/>
        </w:rPr>
        <w:t xml:space="preserve">Elevated temperature diﬀerently aﬀects foliar nitrogen partitioning in seedlings of diverse Douglas fir provenances. </w:t>
      </w:r>
      <w:r>
        <w:rPr>
          <w:rFonts w:cstheme="minorHAnsi"/>
          <w:i/>
          <w:lang w:val="en-US"/>
        </w:rPr>
        <w:t xml:space="preserve">Tree </w:t>
      </w:r>
      <w:proofErr w:type="spellStart"/>
      <w:r>
        <w:rPr>
          <w:rFonts w:cstheme="minorHAnsi"/>
          <w:i/>
          <w:lang w:val="en-US"/>
        </w:rPr>
        <w:t>Physiol</w:t>
      </w:r>
      <w:proofErr w:type="spellEnd"/>
      <w:r>
        <w:rPr>
          <w:rFonts w:cstheme="minorHAnsi"/>
          <w:i/>
          <w:lang w:val="en-US"/>
        </w:rPr>
        <w:t xml:space="preserve"> </w:t>
      </w:r>
      <w:r>
        <w:rPr>
          <w:rFonts w:cstheme="minorHAnsi"/>
          <w:b/>
          <w:lang w:val="en-US"/>
        </w:rPr>
        <w:t>34</w:t>
      </w:r>
      <w:r>
        <w:rPr>
          <w:rFonts w:cstheme="minorHAnsi"/>
          <w:lang w:val="en-US"/>
        </w:rPr>
        <w:t>: 1090-1101.</w:t>
      </w:r>
    </w:p>
    <w:p w14:paraId="7B3599DD" w14:textId="77777777" w:rsidR="002E40E1" w:rsidRDefault="00B2409D">
      <w:pPr>
        <w:spacing w:line="360" w:lineRule="auto"/>
        <w:ind w:left="709" w:hanging="709"/>
        <w:jc w:val="both"/>
        <w:rPr>
          <w:rFonts w:cstheme="minorHAnsi"/>
          <w:lang w:val="en-US"/>
        </w:rPr>
      </w:pPr>
      <w:r>
        <w:rPr>
          <w:rFonts w:cstheme="minorHAnsi"/>
          <w:b/>
          <w:lang w:val="en-US"/>
        </w:rPr>
        <w:t xml:space="preserve">Haas BJ, </w:t>
      </w:r>
      <w:proofErr w:type="spellStart"/>
      <w:r>
        <w:rPr>
          <w:rFonts w:cstheme="minorHAnsi"/>
          <w:b/>
          <w:lang w:val="en-US"/>
        </w:rPr>
        <w:t>Papanicolaou</w:t>
      </w:r>
      <w:proofErr w:type="spellEnd"/>
      <w:r>
        <w:rPr>
          <w:rFonts w:cstheme="minorHAnsi"/>
          <w:b/>
          <w:lang w:val="en-US"/>
        </w:rPr>
        <w:t xml:space="preserve"> A, </w:t>
      </w:r>
      <w:proofErr w:type="spellStart"/>
      <w:r>
        <w:rPr>
          <w:rFonts w:cstheme="minorHAnsi"/>
          <w:b/>
          <w:lang w:val="en-US"/>
        </w:rPr>
        <w:t>Yassour</w:t>
      </w:r>
      <w:proofErr w:type="spellEnd"/>
      <w:r>
        <w:rPr>
          <w:rFonts w:cstheme="minorHAnsi"/>
          <w:b/>
          <w:lang w:val="en-US"/>
        </w:rPr>
        <w:t xml:space="preserve"> M, </w:t>
      </w:r>
      <w:proofErr w:type="spellStart"/>
      <w:r>
        <w:rPr>
          <w:rFonts w:cstheme="minorHAnsi"/>
          <w:b/>
          <w:lang w:val="en-US"/>
        </w:rPr>
        <w:t>Grabherr</w:t>
      </w:r>
      <w:proofErr w:type="spellEnd"/>
      <w:r>
        <w:rPr>
          <w:rFonts w:cstheme="minorHAnsi"/>
          <w:b/>
          <w:lang w:val="en-US"/>
        </w:rPr>
        <w:t xml:space="preserve"> M, Blood PD, Bowden J, </w:t>
      </w:r>
      <w:proofErr w:type="spellStart"/>
      <w:r>
        <w:rPr>
          <w:rFonts w:cstheme="minorHAnsi"/>
          <w:b/>
          <w:lang w:val="en-US"/>
        </w:rPr>
        <w:t>Couger</w:t>
      </w:r>
      <w:proofErr w:type="spellEnd"/>
      <w:r>
        <w:rPr>
          <w:rFonts w:cstheme="minorHAnsi"/>
          <w:b/>
          <w:lang w:val="en-US"/>
        </w:rPr>
        <w:t xml:space="preserve"> MB, Eccles D, Li B, Lieber M, et al.</w:t>
      </w:r>
      <w:r>
        <w:rPr>
          <w:rFonts w:cstheme="minorHAnsi"/>
          <w:b/>
          <w:lang w:val="en-US"/>
        </w:rPr>
        <w:t xml:space="preserve"> 2013. </w:t>
      </w:r>
      <w:r>
        <w:rPr>
          <w:rFonts w:cstheme="minorHAnsi"/>
          <w:lang w:val="en-US"/>
        </w:rPr>
        <w:t xml:space="preserve">De novo transcript sequence reconstruction from RNA-seq using the Trinity platform for reference generation and analysis. </w:t>
      </w:r>
      <w:r>
        <w:rPr>
          <w:rFonts w:cstheme="minorHAnsi"/>
          <w:i/>
          <w:lang w:val="en-US"/>
        </w:rPr>
        <w:t xml:space="preserve">Nat </w:t>
      </w:r>
      <w:proofErr w:type="spellStart"/>
      <w:r>
        <w:rPr>
          <w:rFonts w:cstheme="minorHAnsi"/>
          <w:i/>
          <w:lang w:val="en-US"/>
        </w:rPr>
        <w:t>Protoc</w:t>
      </w:r>
      <w:proofErr w:type="spellEnd"/>
      <w:r>
        <w:rPr>
          <w:rFonts w:cstheme="minorHAnsi"/>
          <w:i/>
          <w:lang w:val="en-US"/>
        </w:rPr>
        <w:t xml:space="preserve"> </w:t>
      </w:r>
      <w:r>
        <w:rPr>
          <w:rFonts w:cstheme="minorHAnsi"/>
          <w:b/>
          <w:lang w:val="en-US"/>
        </w:rPr>
        <w:t>8</w:t>
      </w:r>
      <w:r>
        <w:rPr>
          <w:rFonts w:cstheme="minorHAnsi"/>
          <w:lang w:val="en-US"/>
        </w:rPr>
        <w:t>: 1494-1512.</w:t>
      </w:r>
    </w:p>
    <w:p w14:paraId="525CBAAE" w14:textId="77777777" w:rsidR="002E40E1" w:rsidRPr="004D1F86" w:rsidRDefault="00B2409D">
      <w:pPr>
        <w:spacing w:line="360" w:lineRule="auto"/>
        <w:ind w:left="709" w:hanging="709"/>
        <w:jc w:val="both"/>
        <w:rPr>
          <w:rFonts w:cstheme="minorHAnsi"/>
          <w:lang w:val="en-US"/>
        </w:rPr>
      </w:pPr>
      <w:r>
        <w:rPr>
          <w:rFonts w:cstheme="minorHAnsi"/>
          <w:b/>
          <w:lang w:val="en-US"/>
        </w:rPr>
        <w:t xml:space="preserve">Munns R, Wallace PA, </w:t>
      </w:r>
      <w:proofErr w:type="spellStart"/>
      <w:r>
        <w:rPr>
          <w:rFonts w:cstheme="minorHAnsi"/>
          <w:b/>
          <w:lang w:val="en-US"/>
        </w:rPr>
        <w:t>Teakle</w:t>
      </w:r>
      <w:proofErr w:type="spellEnd"/>
      <w:r>
        <w:rPr>
          <w:rFonts w:cstheme="minorHAnsi"/>
          <w:b/>
          <w:lang w:val="en-US"/>
        </w:rPr>
        <w:t xml:space="preserve"> NL, </w:t>
      </w:r>
      <w:proofErr w:type="spellStart"/>
      <w:r>
        <w:rPr>
          <w:rFonts w:cstheme="minorHAnsi"/>
          <w:b/>
          <w:lang w:val="en-US"/>
        </w:rPr>
        <w:t>Colmer</w:t>
      </w:r>
      <w:proofErr w:type="spellEnd"/>
      <w:r>
        <w:rPr>
          <w:rFonts w:cstheme="minorHAnsi"/>
          <w:b/>
          <w:lang w:val="en-US"/>
        </w:rPr>
        <w:t xml:space="preserve"> TD. 2010. </w:t>
      </w:r>
      <w:r>
        <w:rPr>
          <w:rFonts w:cstheme="minorHAnsi"/>
          <w:lang w:val="en-US"/>
        </w:rPr>
        <w:t>Measuring soluble ion concentrations (Na</w:t>
      </w:r>
      <w:r>
        <w:rPr>
          <w:rFonts w:cstheme="minorHAnsi"/>
          <w:vertAlign w:val="superscript"/>
          <w:lang w:val="en-US"/>
        </w:rPr>
        <w:t>+</w:t>
      </w:r>
      <w:r>
        <w:rPr>
          <w:rFonts w:cstheme="minorHAnsi"/>
          <w:lang w:val="en-US"/>
        </w:rPr>
        <w:t>, K</w:t>
      </w:r>
      <w:r>
        <w:rPr>
          <w:rFonts w:cstheme="minorHAnsi"/>
          <w:vertAlign w:val="superscript"/>
          <w:lang w:val="en-US"/>
        </w:rPr>
        <w:t>+</w:t>
      </w:r>
      <w:r>
        <w:rPr>
          <w:rFonts w:cstheme="minorHAnsi"/>
          <w:lang w:val="en-US"/>
        </w:rPr>
        <w:t>,) in sa</w:t>
      </w:r>
      <w:r>
        <w:rPr>
          <w:rFonts w:cstheme="minorHAnsi"/>
          <w:lang w:val="en-US"/>
        </w:rPr>
        <w:t xml:space="preserve">lt-treated plants. </w:t>
      </w:r>
      <w:r w:rsidRPr="004D1F86">
        <w:rPr>
          <w:rFonts w:cstheme="minorHAnsi"/>
          <w:i/>
          <w:lang w:val="en-US"/>
        </w:rPr>
        <w:t xml:space="preserve">Methods Mol Biol </w:t>
      </w:r>
      <w:r w:rsidRPr="004D1F86">
        <w:rPr>
          <w:rFonts w:cstheme="minorHAnsi"/>
          <w:b/>
          <w:lang w:val="en-US"/>
        </w:rPr>
        <w:t>639</w:t>
      </w:r>
      <w:r w:rsidRPr="004D1F86">
        <w:rPr>
          <w:rFonts w:cstheme="minorHAnsi"/>
          <w:lang w:val="en-US"/>
        </w:rPr>
        <w:t>: 371-382.</w:t>
      </w:r>
    </w:p>
    <w:p w14:paraId="4A7287BE" w14:textId="77777777" w:rsidR="002E40E1" w:rsidRDefault="00B2409D">
      <w:pPr>
        <w:spacing w:line="360" w:lineRule="auto"/>
        <w:ind w:left="709" w:hanging="709"/>
        <w:jc w:val="both"/>
        <w:rPr>
          <w:rFonts w:cstheme="minorHAnsi"/>
          <w:lang w:val="en-US"/>
        </w:rPr>
      </w:pPr>
      <w:proofErr w:type="spellStart"/>
      <w:r>
        <w:rPr>
          <w:rFonts w:cstheme="minorHAnsi"/>
          <w:b/>
          <w:lang w:val="en-US"/>
        </w:rPr>
        <w:t>Peuke</w:t>
      </w:r>
      <w:proofErr w:type="spellEnd"/>
      <w:r>
        <w:rPr>
          <w:rFonts w:cstheme="minorHAnsi"/>
          <w:b/>
          <w:lang w:val="en-US"/>
        </w:rPr>
        <w:t xml:space="preserve"> AD, Gessler A, </w:t>
      </w:r>
      <w:proofErr w:type="spellStart"/>
      <w:r>
        <w:rPr>
          <w:rFonts w:cstheme="minorHAnsi"/>
          <w:b/>
          <w:lang w:val="en-US"/>
        </w:rPr>
        <w:t>Rennenberg</w:t>
      </w:r>
      <w:proofErr w:type="spellEnd"/>
      <w:r>
        <w:rPr>
          <w:rFonts w:cstheme="minorHAnsi"/>
          <w:b/>
          <w:lang w:val="en-US"/>
        </w:rPr>
        <w:t xml:space="preserve"> H. 2006. </w:t>
      </w:r>
      <w:r>
        <w:rPr>
          <w:rFonts w:cstheme="minorHAnsi"/>
          <w:lang w:val="en-US"/>
        </w:rPr>
        <w:t xml:space="preserve">The eﬀect of drought on C and N stable isotopes in diﬀerent fractions of leaves, stems and roots of sensitive and tolerant beech ecotypes. </w:t>
      </w:r>
      <w:r>
        <w:rPr>
          <w:rFonts w:cstheme="minorHAnsi"/>
          <w:i/>
          <w:lang w:val="en-US"/>
        </w:rPr>
        <w:t xml:space="preserve">Plant Cell Environ </w:t>
      </w:r>
      <w:r>
        <w:rPr>
          <w:rFonts w:cstheme="minorHAnsi"/>
          <w:b/>
          <w:lang w:val="en-US"/>
        </w:rPr>
        <w:t>29</w:t>
      </w:r>
      <w:r>
        <w:rPr>
          <w:rFonts w:cstheme="minorHAnsi"/>
          <w:lang w:val="en-US"/>
        </w:rPr>
        <w:t>: 823</w:t>
      </w:r>
      <w:r>
        <w:rPr>
          <w:rFonts w:cstheme="minorHAnsi"/>
          <w:lang w:val="en-US"/>
        </w:rPr>
        <w:t>-835.</w:t>
      </w:r>
    </w:p>
    <w:p w14:paraId="26CE5865" w14:textId="77777777" w:rsidR="002E40E1" w:rsidRDefault="00B2409D">
      <w:pPr>
        <w:spacing w:line="360" w:lineRule="auto"/>
        <w:ind w:left="709" w:hanging="709"/>
        <w:jc w:val="both"/>
        <w:rPr>
          <w:rFonts w:cstheme="minorHAnsi"/>
          <w:lang w:val="en-US"/>
        </w:rPr>
      </w:pPr>
      <w:r>
        <w:rPr>
          <w:rFonts w:cstheme="minorHAnsi"/>
          <w:b/>
          <w:lang w:val="en-US"/>
        </w:rPr>
        <w:t xml:space="preserve">Robinson MD, McCarthy DJ, Smyth GK. 2010. </w:t>
      </w:r>
      <w:proofErr w:type="spellStart"/>
      <w:r>
        <w:rPr>
          <w:rFonts w:cstheme="minorHAnsi"/>
          <w:lang w:val="en-US"/>
        </w:rPr>
        <w:t>edgeR</w:t>
      </w:r>
      <w:proofErr w:type="spellEnd"/>
      <w:r>
        <w:rPr>
          <w:rFonts w:cstheme="minorHAnsi"/>
          <w:lang w:val="en-US"/>
        </w:rPr>
        <w:t xml:space="preserve">: </w:t>
      </w:r>
      <w:proofErr w:type="gramStart"/>
      <w:r>
        <w:rPr>
          <w:rFonts w:cstheme="minorHAnsi"/>
          <w:lang w:val="en-US"/>
        </w:rPr>
        <w:t>a</w:t>
      </w:r>
      <w:proofErr w:type="gramEnd"/>
      <w:r>
        <w:rPr>
          <w:rFonts w:cstheme="minorHAnsi"/>
          <w:lang w:val="en-US"/>
        </w:rPr>
        <w:t xml:space="preserve"> Bioconductor package for diﬀerential expression analysis of digital gene expression data. </w:t>
      </w:r>
      <w:r>
        <w:rPr>
          <w:rFonts w:cstheme="minorHAnsi"/>
          <w:i/>
          <w:lang w:val="en-US"/>
        </w:rPr>
        <w:t xml:space="preserve">Bioinformatics </w:t>
      </w:r>
      <w:r>
        <w:rPr>
          <w:rFonts w:cstheme="minorHAnsi"/>
          <w:b/>
          <w:lang w:val="en-US"/>
        </w:rPr>
        <w:t>26</w:t>
      </w:r>
      <w:r>
        <w:rPr>
          <w:rFonts w:cstheme="minorHAnsi"/>
          <w:lang w:val="en-US"/>
        </w:rPr>
        <w:t>: 139-140.</w:t>
      </w:r>
    </w:p>
    <w:p w14:paraId="5521E266" w14:textId="77777777" w:rsidR="002E40E1" w:rsidRDefault="00B2409D">
      <w:pPr>
        <w:spacing w:line="360" w:lineRule="auto"/>
        <w:ind w:left="709" w:hanging="709"/>
        <w:jc w:val="both"/>
        <w:rPr>
          <w:rFonts w:ascii="Calibri" w:eastAsia="Calibri" w:hAnsi="Calibri" w:cs="Calibri"/>
          <w:lang w:val="en-US" w:eastAsia="zh-CN"/>
        </w:rPr>
      </w:pPr>
      <w:proofErr w:type="spellStart"/>
      <w:r>
        <w:rPr>
          <w:rFonts w:eastAsia="Calibri" w:cstheme="minorHAnsi"/>
          <w:b/>
          <w:lang w:val="en-US" w:eastAsia="zh-CN"/>
        </w:rPr>
        <w:t>Schwacke</w:t>
      </w:r>
      <w:proofErr w:type="spellEnd"/>
      <w:r>
        <w:rPr>
          <w:rFonts w:eastAsia="Calibri" w:cstheme="minorHAnsi"/>
          <w:b/>
          <w:lang w:val="en-US" w:eastAsia="zh-CN"/>
        </w:rPr>
        <w:t xml:space="preserve"> R, Ponce-Soto GY, Krause K, Bolger AM, </w:t>
      </w:r>
      <w:proofErr w:type="spellStart"/>
      <w:r>
        <w:rPr>
          <w:rFonts w:eastAsia="Calibri" w:cstheme="minorHAnsi"/>
          <w:b/>
          <w:lang w:val="en-US" w:eastAsia="zh-CN"/>
        </w:rPr>
        <w:t>Arsova</w:t>
      </w:r>
      <w:proofErr w:type="spellEnd"/>
      <w:r>
        <w:rPr>
          <w:rFonts w:eastAsia="Calibri" w:cstheme="minorHAnsi"/>
          <w:b/>
          <w:lang w:val="en-US" w:eastAsia="zh-CN"/>
        </w:rPr>
        <w:t xml:space="preserve"> B, Hallab A, Gruden K, Sti</w:t>
      </w:r>
      <w:r>
        <w:rPr>
          <w:rFonts w:eastAsia="Calibri" w:cstheme="minorHAnsi"/>
          <w:b/>
          <w:lang w:val="en-US" w:eastAsia="zh-CN"/>
        </w:rPr>
        <w:t xml:space="preserve">tt M, Bolger ME, </w:t>
      </w:r>
      <w:proofErr w:type="spellStart"/>
      <w:r>
        <w:rPr>
          <w:rFonts w:eastAsia="Calibri" w:cstheme="minorHAnsi"/>
          <w:b/>
          <w:lang w:val="en-US" w:eastAsia="zh-CN"/>
        </w:rPr>
        <w:t>Usadel</w:t>
      </w:r>
      <w:proofErr w:type="spellEnd"/>
      <w:r>
        <w:rPr>
          <w:rFonts w:eastAsia="Calibri" w:cstheme="minorHAnsi"/>
          <w:b/>
          <w:lang w:val="en-US" w:eastAsia="zh-CN"/>
        </w:rPr>
        <w:t xml:space="preserve"> B. 2019. </w:t>
      </w:r>
      <w:r>
        <w:rPr>
          <w:rFonts w:eastAsia="Calibri" w:cstheme="minorHAnsi"/>
          <w:lang w:val="en-US" w:eastAsia="zh-CN"/>
        </w:rPr>
        <w:t xml:space="preserve">MapMan4: a refined protein classification and annotation framework applicable to multi-omics data analysis. </w:t>
      </w:r>
      <w:r>
        <w:rPr>
          <w:rFonts w:eastAsia="Calibri" w:cstheme="minorHAnsi"/>
          <w:i/>
          <w:lang w:val="en-US" w:eastAsia="zh-CN"/>
        </w:rPr>
        <w:t xml:space="preserve">Mol Plant </w:t>
      </w:r>
      <w:r>
        <w:rPr>
          <w:rFonts w:eastAsia="Calibri" w:cstheme="minorHAnsi"/>
          <w:b/>
          <w:lang w:val="en-US" w:eastAsia="zh-CN"/>
        </w:rPr>
        <w:t>12</w:t>
      </w:r>
      <w:r>
        <w:rPr>
          <w:rFonts w:eastAsia="Calibri" w:cstheme="minorHAnsi"/>
          <w:lang w:val="en-US" w:eastAsia="zh-CN"/>
        </w:rPr>
        <w:t>: 879-892.</w:t>
      </w:r>
    </w:p>
    <w:p w14:paraId="0FF73661" w14:textId="77777777" w:rsidR="002E40E1" w:rsidRDefault="002E40E1">
      <w:pPr>
        <w:spacing w:line="360" w:lineRule="auto"/>
        <w:jc w:val="both"/>
      </w:pPr>
    </w:p>
    <w:sectPr w:rsidR="002E40E1">
      <w:pgSz w:w="11906" w:h="16838"/>
      <w:pgMar w:top="1417" w:right="1417" w:bottom="1134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oto Sans Devanagari">
    <w:altName w:val="Arial"/>
    <w:charset w:val="00"/>
    <w:family w:val="swiss"/>
    <w:pitch w:val="variable"/>
    <w:sig w:usb0="80008023" w:usb1="00002046" w:usb2="00000000" w:usb3="00000000" w:csb0="00000001" w:csb1="00000000"/>
  </w:font>
  <w:font w:name="Carlito">
    <w:altName w:val="Calibri"/>
    <w:charset w:val="01"/>
    <w:family w:val="roman"/>
    <w:pitch w:val="variable"/>
  </w:font>
  <w:font w:name="Noto Serif CJK SC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0E1"/>
    <w:rsid w:val="002E40E1"/>
    <w:rsid w:val="004D1F86"/>
    <w:rsid w:val="00921E3C"/>
    <w:rsid w:val="00B2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195BE"/>
  <w15:docId w15:val="{E35FC45C-ED9C-4243-B335-95BF178AB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4"/>
        <w:lang w:val="de-D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uiPriority w:val="99"/>
    <w:qFormat/>
    <w:rsid w:val="00B51EF8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qFormat/>
    <w:rPr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7C5CF9"/>
    <w:rPr>
      <w:rFonts w:ascii="Segoe UI" w:hAnsi="Segoe UI" w:cs="Segoe UI"/>
      <w:sz w:val="18"/>
      <w:szCs w:val="18"/>
    </w:rPr>
  </w:style>
  <w:style w:type="character" w:customStyle="1" w:styleId="Internetverknpfung">
    <w:name w:val="Internetverknüpfung"/>
    <w:qFormat/>
    <w:rsid w:val="00B879DE"/>
    <w:rPr>
      <w:color w:val="000080"/>
      <w:u w:val="single"/>
    </w:rPr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Noto Sans Devanagari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Standard"/>
    <w:qFormat/>
    <w:pPr>
      <w:suppressLineNumbers/>
    </w:pPr>
    <w:rPr>
      <w:rFonts w:cs="Lohit Devanagari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Carlito" w:eastAsia="Noto Sans CJK SC" w:hAnsi="Carlito" w:cs="Noto Sans Devanagari"/>
      <w:sz w:val="28"/>
      <w:szCs w:val="28"/>
    </w:rPr>
  </w:style>
  <w:style w:type="paragraph" w:customStyle="1" w:styleId="Verzeichnis">
    <w:name w:val="Verzeichnis"/>
    <w:basedOn w:val="Standard"/>
    <w:qFormat/>
    <w:pPr>
      <w:suppressLineNumbers/>
    </w:pPr>
    <w:rPr>
      <w:rFonts w:cs="Noto Sans Devanagari"/>
    </w:rPr>
  </w:style>
  <w:style w:type="paragraph" w:customStyle="1" w:styleId="western">
    <w:name w:val="western"/>
    <w:basedOn w:val="Standard"/>
    <w:qFormat/>
    <w:rsid w:val="00481A11"/>
    <w:pPr>
      <w:spacing w:before="280" w:after="142" w:line="276" w:lineRule="auto"/>
    </w:pPr>
    <w:rPr>
      <w:rFonts w:ascii="Calibri" w:eastAsia="Times New Roman" w:hAnsi="Calibri" w:cs="Calibri"/>
      <w:color w:val="000000"/>
      <w:lang w:eastAsia="zh-CN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qFormat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7C5CF9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4D1F86"/>
    <w:pPr>
      <w:suppressAutoHyphens w:val="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rdocumentation.org/packages/pheatmap/versions/1.0.12/topics/pheatmap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842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Ache</dc:creator>
  <dc:description/>
  <cp:lastModifiedBy>Franzisky, Bastian Leander</cp:lastModifiedBy>
  <cp:revision>2</cp:revision>
  <dcterms:created xsi:type="dcterms:W3CDTF">2023-02-16T11:06:00Z</dcterms:created>
  <dcterms:modified xsi:type="dcterms:W3CDTF">2023-02-16T11:06:00Z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