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C93" w:rsidRDefault="00043012">
      <w:pPr>
        <w:spacing w:after="0" w:line="240" w:lineRule="auto"/>
        <w:jc w:val="both"/>
        <w:rPr>
          <w:rFonts w:ascii="Arial" w:hAnsi="Arial" w:cs="Arial"/>
          <w:b/>
          <w:sz w:val="24"/>
          <w:szCs w:val="24"/>
          <w:lang w:val="fr-FR" w:eastAsia="de-DE"/>
        </w:rPr>
      </w:pPr>
      <w:r w:rsidRPr="00043012">
        <w:rPr>
          <w:rFonts w:ascii="Arial" w:hAnsi="Arial" w:cs="Arial"/>
          <w:b/>
          <w:sz w:val="24"/>
          <w:szCs w:val="24"/>
          <w:lang w:val="en-US" w:eastAsia="de-DE"/>
        </w:rPr>
        <w:t>Supplementary</w:t>
      </w:r>
      <w:r>
        <w:rPr>
          <w:rFonts w:ascii="Arial" w:hAnsi="Arial" w:cs="Arial"/>
          <w:b/>
          <w:sz w:val="24"/>
          <w:szCs w:val="24"/>
          <w:lang w:val="fr-FR" w:eastAsia="de-DE"/>
        </w:rPr>
        <w:t xml:space="preserve"> </w:t>
      </w:r>
      <w:r w:rsidRPr="00043012">
        <w:rPr>
          <w:rFonts w:ascii="Arial" w:hAnsi="Arial" w:cs="Arial"/>
          <w:b/>
          <w:sz w:val="24"/>
          <w:szCs w:val="24"/>
          <w:lang w:val="en-US" w:eastAsia="de-DE"/>
        </w:rPr>
        <w:t>Material</w:t>
      </w:r>
      <w:r>
        <w:rPr>
          <w:rFonts w:ascii="Arial" w:hAnsi="Arial" w:cs="Arial"/>
          <w:b/>
          <w:sz w:val="24"/>
          <w:szCs w:val="24"/>
          <w:lang w:val="fr-FR" w:eastAsia="de-DE"/>
        </w:rPr>
        <w:t xml:space="preserve"> </w:t>
      </w:r>
    </w:p>
    <w:p w:rsidR="00576C93" w:rsidRDefault="00576C93">
      <w:pPr>
        <w:spacing w:after="0" w:line="240" w:lineRule="auto"/>
        <w:jc w:val="both"/>
        <w:rPr>
          <w:rFonts w:ascii="Arial" w:hAnsi="Arial" w:cs="Arial"/>
          <w:b/>
          <w:sz w:val="24"/>
          <w:szCs w:val="24"/>
          <w:lang w:val="fr-FR" w:eastAsia="de-DE"/>
        </w:rPr>
      </w:pPr>
    </w:p>
    <w:p w:rsidR="00576C93" w:rsidRDefault="00043012">
      <w:pPr>
        <w:spacing w:after="0" w:line="240" w:lineRule="auto"/>
        <w:jc w:val="both"/>
        <w:rPr>
          <w:rFonts w:ascii="Arial" w:hAnsi="Arial" w:cs="Arial"/>
          <w:b/>
          <w:sz w:val="24"/>
          <w:szCs w:val="24"/>
          <w:lang w:val="en-US" w:eastAsia="de-DE"/>
        </w:rPr>
      </w:pPr>
      <w:r>
        <w:rPr>
          <w:rFonts w:ascii="Arial" w:hAnsi="Arial" w:cs="Arial"/>
          <w:b/>
          <w:sz w:val="24"/>
          <w:szCs w:val="24"/>
          <w:lang w:val="en-US" w:eastAsia="de-DE"/>
        </w:rPr>
        <w:t xml:space="preserve">Supplementary Methods </w:t>
      </w:r>
    </w:p>
    <w:p w:rsidR="00576C93" w:rsidRDefault="00576C93">
      <w:pPr>
        <w:spacing w:after="0" w:line="240" w:lineRule="auto"/>
        <w:jc w:val="both"/>
        <w:rPr>
          <w:rFonts w:ascii="Arial" w:hAnsi="Arial" w:cs="Arial"/>
          <w:b/>
          <w:i/>
          <w:sz w:val="24"/>
          <w:szCs w:val="24"/>
          <w:lang w:val="en-US" w:eastAsia="de-DE"/>
        </w:rPr>
      </w:pPr>
    </w:p>
    <w:p w:rsidR="00576C93" w:rsidRDefault="00043012">
      <w:pPr>
        <w:spacing w:after="0" w:line="240" w:lineRule="auto"/>
        <w:jc w:val="both"/>
        <w:rPr>
          <w:rFonts w:ascii="Arial" w:hAnsi="Arial" w:cs="Arial"/>
          <w:sz w:val="24"/>
          <w:szCs w:val="24"/>
          <w:lang w:val="en-US" w:eastAsia="de-DE"/>
        </w:rPr>
      </w:pPr>
      <w:r>
        <w:rPr>
          <w:rFonts w:ascii="Arial" w:hAnsi="Arial" w:cs="Arial"/>
          <w:b/>
          <w:i/>
          <w:sz w:val="24"/>
          <w:szCs w:val="24"/>
          <w:lang w:val="en-US" w:eastAsia="de-DE"/>
        </w:rPr>
        <w:t xml:space="preserve">Study medication </w:t>
      </w: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Kidney transplant recipients were assigned according to a 1:1:1 central randomization procedure. They received either standard immunosuppression comprising basiliximab (Simulect®, Novartis, 20 mg intravenously on day zero before allograft reperfusion and d</w:t>
      </w:r>
      <w:r>
        <w:rPr>
          <w:rFonts w:ascii="Arial" w:hAnsi="Arial" w:cs="Arial"/>
          <w:sz w:val="24"/>
          <w:szCs w:val="24"/>
          <w:lang w:val="en-US" w:eastAsia="de-DE"/>
        </w:rPr>
        <w:t>ay four), prolonged release tacrolimus administered once daily (Advagraf®, Astellas Pharma GmbH), mycophenolate mofetil (MMF) (CellCept®, Roche Pharma AG,), and prednisolone (group A) or RSWD within the first week after transplantation with identical immun</w:t>
      </w:r>
      <w:r>
        <w:rPr>
          <w:rFonts w:ascii="Arial" w:hAnsi="Arial" w:cs="Arial"/>
          <w:sz w:val="24"/>
          <w:szCs w:val="24"/>
          <w:lang w:val="en-US" w:eastAsia="de-DE"/>
        </w:rPr>
        <w:t xml:space="preserve">osuppressive medication as in the standard group (group B). In the RSWD group C, basiliximab induction was replaced by rabbit ATG (Thymoglobulin®, Sanofi). </w:t>
      </w:r>
    </w:p>
    <w:p w:rsidR="00576C93" w:rsidRDefault="00576C93">
      <w:pPr>
        <w:spacing w:after="0" w:line="240" w:lineRule="auto"/>
        <w:jc w:val="both"/>
        <w:rPr>
          <w:rFonts w:ascii="Arial" w:hAnsi="Arial" w:cs="Arial"/>
          <w:sz w:val="24"/>
          <w:szCs w:val="24"/>
          <w:lang w:val="en-US" w:eastAsia="de-DE"/>
        </w:rPr>
      </w:pPr>
    </w:p>
    <w:p w:rsidR="00576C93" w:rsidRDefault="00043012">
      <w:pPr>
        <w:spacing w:after="0" w:line="240" w:lineRule="auto"/>
        <w:jc w:val="both"/>
        <w:rPr>
          <w:rFonts w:ascii="Arial" w:hAnsi="Arial" w:cs="Arial"/>
          <w:b/>
          <w:i/>
          <w:sz w:val="24"/>
          <w:szCs w:val="24"/>
          <w:lang w:val="en-US" w:eastAsia="de-DE"/>
        </w:rPr>
      </w:pPr>
      <w:r>
        <w:rPr>
          <w:rFonts w:ascii="Arial" w:hAnsi="Arial" w:cs="Arial"/>
          <w:b/>
          <w:i/>
          <w:sz w:val="24"/>
          <w:szCs w:val="24"/>
          <w:lang w:val="en-US" w:eastAsia="de-DE"/>
        </w:rPr>
        <w:t xml:space="preserve">Inclusion and exclusion criteria </w:t>
      </w: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In the original Harmony trial, adult kidney transplant recipient</w:t>
      </w:r>
      <w:r>
        <w:rPr>
          <w:rFonts w:ascii="Arial" w:hAnsi="Arial" w:cs="Arial"/>
          <w:sz w:val="24"/>
          <w:szCs w:val="24"/>
          <w:lang w:val="en-US" w:eastAsia="de-DE"/>
        </w:rPr>
        <w:t>s (18 to 75 years) with low immunological risk were scheduled to receive a single-organ renal transplant from either a living donor or a deceased donor. In the follow-up trial, all patients alive after Harmony trial and recruited by centers participating i</w:t>
      </w:r>
      <w:r>
        <w:rPr>
          <w:rFonts w:ascii="Arial" w:hAnsi="Arial" w:cs="Arial"/>
          <w:sz w:val="24"/>
          <w:szCs w:val="24"/>
          <w:lang w:val="en-US" w:eastAsia="de-DE"/>
        </w:rPr>
        <w:t>n the follow-up investigation were eligible. Patients receiving a second renal transplant were eligible, if the first allograft was not lost due to acute rejection within the first year after transplantation. Donor and recipient had to be AB0-compatible an</w:t>
      </w:r>
      <w:r>
        <w:rPr>
          <w:rFonts w:ascii="Arial" w:hAnsi="Arial" w:cs="Arial"/>
          <w:sz w:val="24"/>
          <w:szCs w:val="24"/>
          <w:lang w:val="en-US" w:eastAsia="de-DE"/>
        </w:rPr>
        <w:t>d the direct cross-match had to be negative (complement-dependent cytotoxicity crossmatch, CDC-test). Grafts with pre-transplant-existing donor-specific HLA antibodies were not eligible and the recipients exhibited a current PRA level ≤ 30%. Pregnant women</w:t>
      </w:r>
      <w:r>
        <w:rPr>
          <w:rFonts w:ascii="Arial" w:hAnsi="Arial" w:cs="Arial"/>
          <w:sz w:val="24"/>
          <w:szCs w:val="24"/>
          <w:lang w:val="en-US" w:eastAsia="de-DE"/>
        </w:rPr>
        <w:t xml:space="preserve"> and nursing mothers were excluded. Further exclusion criteria were receipt of a multi-organ transplantation, pediatric en-bloc kidney transplantation, HLA-identical or non-heart-beating donors, past history of cancer within the last five years except for </w:t>
      </w:r>
      <w:r>
        <w:rPr>
          <w:rFonts w:ascii="Arial" w:hAnsi="Arial" w:cs="Arial"/>
          <w:sz w:val="24"/>
          <w:szCs w:val="24"/>
          <w:lang w:val="en-US" w:eastAsia="de-DE"/>
        </w:rPr>
        <w:t xml:space="preserve">non-melanoma skin cancer. </w:t>
      </w:r>
    </w:p>
    <w:p w:rsidR="00576C93" w:rsidRDefault="00576C93">
      <w:pPr>
        <w:spacing w:after="0" w:line="240" w:lineRule="auto"/>
        <w:jc w:val="both"/>
        <w:rPr>
          <w:rFonts w:ascii="Arial" w:hAnsi="Arial" w:cs="Arial"/>
          <w:sz w:val="24"/>
          <w:szCs w:val="24"/>
          <w:lang w:val="en-US" w:eastAsia="de-DE"/>
        </w:rPr>
      </w:pP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In the follow-up trial, all patients alive after the original Harmony trial and recruited by centers participating in the follow-up investigation were eligible.</w:t>
      </w:r>
    </w:p>
    <w:p w:rsidR="00576C93" w:rsidRDefault="00576C93">
      <w:pPr>
        <w:spacing w:after="0" w:line="240" w:lineRule="auto"/>
        <w:jc w:val="both"/>
        <w:rPr>
          <w:rFonts w:ascii="Arial" w:hAnsi="Arial" w:cs="Arial"/>
          <w:sz w:val="24"/>
          <w:szCs w:val="24"/>
          <w:lang w:val="en-US" w:eastAsia="de-DE"/>
        </w:rPr>
      </w:pPr>
    </w:p>
    <w:p w:rsidR="00576C93" w:rsidRDefault="00043012">
      <w:pPr>
        <w:spacing w:after="0" w:line="240" w:lineRule="auto"/>
        <w:jc w:val="both"/>
        <w:rPr>
          <w:rFonts w:ascii="Arial" w:hAnsi="Arial" w:cs="Arial"/>
          <w:b/>
          <w:i/>
          <w:sz w:val="24"/>
          <w:szCs w:val="24"/>
          <w:lang w:val="en-US" w:eastAsia="de-DE"/>
        </w:rPr>
      </w:pPr>
      <w:r>
        <w:rPr>
          <w:rFonts w:ascii="Arial" w:hAnsi="Arial" w:cs="Arial"/>
          <w:b/>
          <w:i/>
          <w:sz w:val="24"/>
          <w:szCs w:val="24"/>
          <w:lang w:val="en-US" w:eastAsia="de-DE"/>
        </w:rPr>
        <w:t>Study end</w:t>
      </w:r>
      <w:r>
        <w:rPr>
          <w:rFonts w:ascii="Arial" w:hAnsi="Arial" w:cs="Arial"/>
          <w:b/>
          <w:i/>
          <w:sz w:val="24"/>
          <w:szCs w:val="24"/>
          <w:lang w:val="en-US" w:eastAsia="de-DE"/>
        </w:rPr>
        <w:t xml:space="preserve">points </w:t>
      </w: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Most of the end</w:t>
      </w:r>
      <w:r>
        <w:rPr>
          <w:rFonts w:ascii="Arial" w:hAnsi="Arial" w:cs="Arial"/>
          <w:sz w:val="24"/>
          <w:szCs w:val="24"/>
          <w:lang w:val="en-US" w:eastAsia="de-DE"/>
        </w:rPr>
        <w:t>points of the original Harmony t</w:t>
      </w:r>
      <w:r>
        <w:rPr>
          <w:rFonts w:ascii="Arial" w:hAnsi="Arial" w:cs="Arial"/>
          <w:sz w:val="24"/>
          <w:szCs w:val="24"/>
          <w:lang w:val="en-US" w:eastAsia="de-DE"/>
        </w:rPr>
        <w:t xml:space="preserve">rial were investigated at the three and five-year visits of the Harmony FU study. Hereby, investigators were asked for results of relevant parameters or </w:t>
      </w:r>
      <w:r>
        <w:rPr>
          <w:rFonts w:ascii="Arial" w:hAnsi="Arial" w:cs="Arial"/>
          <w:i/>
          <w:sz w:val="24"/>
          <w:szCs w:val="24"/>
          <w:lang w:val="en-US" w:eastAsia="de-DE"/>
        </w:rPr>
        <w:t>de novo</w:t>
      </w:r>
      <w:r>
        <w:rPr>
          <w:rFonts w:ascii="Arial" w:hAnsi="Arial" w:cs="Arial"/>
          <w:sz w:val="24"/>
          <w:szCs w:val="24"/>
          <w:lang w:val="en-US" w:eastAsia="de-DE"/>
        </w:rPr>
        <w:t xml:space="preserve"> incidences of events either between the end of the core Harmony trial at one year up to the three-year visit or during the time from the three-year visit up to the five-year FU visit. Patients were followed up until death, graft loss or until year five af</w:t>
      </w:r>
      <w:r>
        <w:rPr>
          <w:rFonts w:ascii="Arial" w:hAnsi="Arial" w:cs="Arial"/>
          <w:sz w:val="24"/>
          <w:szCs w:val="24"/>
          <w:lang w:val="en-US" w:eastAsia="de-DE"/>
        </w:rPr>
        <w:t>ter transplantation</w:t>
      </w:r>
      <w:r>
        <w:rPr>
          <w:rFonts w:ascii="Arial" w:hAnsi="Arial" w:cs="Arial"/>
          <w:sz w:val="24"/>
          <w:szCs w:val="24"/>
          <w:lang w:eastAsia="de-DE"/>
        </w:rPr>
        <w:t xml:space="preserve">. </w:t>
      </w: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The primary end</w:t>
      </w:r>
      <w:bookmarkStart w:id="0" w:name="_GoBack"/>
      <w:bookmarkEnd w:id="0"/>
      <w:r>
        <w:rPr>
          <w:rFonts w:ascii="Arial" w:hAnsi="Arial" w:cs="Arial"/>
          <w:sz w:val="24"/>
          <w:szCs w:val="24"/>
          <w:lang w:val="en-US" w:eastAsia="de-DE"/>
        </w:rPr>
        <w:t>point of the original Harmony trial was the incidence of biopsy-proven acute rejections (BPAR) in-/excluding borderline changes within the first year after renal transplantation. During FU period, only episodes of acut</w:t>
      </w:r>
      <w:r>
        <w:rPr>
          <w:rFonts w:ascii="Arial" w:hAnsi="Arial" w:cs="Arial"/>
          <w:sz w:val="24"/>
          <w:szCs w:val="24"/>
          <w:lang w:val="en-US" w:eastAsia="de-DE"/>
        </w:rPr>
        <w:t>e rejection confirmed by biopsy, with histologic characteristics described according to the Banff criteria of 2015, were counted.</w:t>
      </w:r>
      <w:r>
        <w:rPr>
          <w:rFonts w:ascii="Arial" w:hAnsi="Arial" w:cs="Arial"/>
          <w:sz w:val="24"/>
          <w:szCs w:val="24"/>
          <w:vertAlign w:val="superscript"/>
          <w:lang w:val="en-US" w:eastAsia="de-DE"/>
        </w:rPr>
        <w:t xml:space="preserve">8-12 </w:t>
      </w:r>
      <w:r>
        <w:rPr>
          <w:rFonts w:ascii="Arial" w:hAnsi="Arial" w:cs="Arial"/>
          <w:sz w:val="24"/>
          <w:szCs w:val="24"/>
          <w:lang w:val="en-US" w:eastAsia="de-DE"/>
        </w:rPr>
        <w:t xml:space="preserve">Protocol biopsies were not performed during the FU period. </w:t>
      </w: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Secondary end points were: patient and graft survival, inciden</w:t>
      </w:r>
      <w:r>
        <w:rPr>
          <w:rFonts w:ascii="Arial" w:hAnsi="Arial" w:cs="Arial"/>
          <w:sz w:val="24"/>
          <w:szCs w:val="24"/>
          <w:lang w:val="en-US" w:eastAsia="de-DE"/>
        </w:rPr>
        <w:t>ce of PTDM, bacterial and opportunistic infections including CMV (PCR &gt; 400 copies/µl) or BKV (PCR &gt; 8,000 copies/µl) infections, malignancies, ESA-treated anemia, cardiovascular diseases, or bone fractures; assessment of graft function with calculated GFR</w:t>
      </w:r>
      <w:r>
        <w:rPr>
          <w:rFonts w:ascii="Arial" w:hAnsi="Arial" w:cs="Arial"/>
          <w:sz w:val="24"/>
          <w:szCs w:val="24"/>
          <w:lang w:val="en-US" w:eastAsia="de-DE"/>
        </w:rPr>
        <w:t xml:space="preserve"> by the Cockcroft Gault formula</w:t>
      </w:r>
      <w:r>
        <w:rPr>
          <w:rFonts w:ascii="Arial" w:hAnsi="Arial" w:cs="Arial"/>
          <w:sz w:val="24"/>
          <w:szCs w:val="24"/>
          <w:vertAlign w:val="superscript"/>
          <w:lang w:val="en-US" w:eastAsia="de-DE"/>
        </w:rPr>
        <w:t>9</w:t>
      </w:r>
      <w:r>
        <w:rPr>
          <w:rFonts w:ascii="Arial" w:hAnsi="Arial" w:cs="Arial"/>
          <w:sz w:val="24"/>
          <w:szCs w:val="24"/>
          <w:lang w:val="en-US" w:eastAsia="de-DE"/>
        </w:rPr>
        <w:t xml:space="preserve"> or CKD-EPI equation</w:t>
      </w:r>
      <w:r>
        <w:rPr>
          <w:rFonts w:ascii="Arial" w:hAnsi="Arial" w:cs="Arial"/>
          <w:sz w:val="24"/>
          <w:szCs w:val="24"/>
          <w:vertAlign w:val="superscript"/>
          <w:lang w:val="en-US" w:eastAsia="de-DE"/>
        </w:rPr>
        <w:t>10</w:t>
      </w:r>
      <w:r>
        <w:rPr>
          <w:rFonts w:ascii="Arial" w:hAnsi="Arial" w:cs="Arial"/>
          <w:sz w:val="24"/>
          <w:szCs w:val="24"/>
          <w:lang w:val="en-US" w:eastAsia="de-DE"/>
        </w:rPr>
        <w:t>,</w:t>
      </w:r>
      <w:r>
        <w:rPr>
          <w:rFonts w:ascii="Arial" w:hAnsi="Arial" w:cs="Arial"/>
          <w:sz w:val="24"/>
          <w:szCs w:val="24"/>
          <w:vertAlign w:val="superscript"/>
          <w:lang w:val="en-US" w:eastAsia="de-DE"/>
        </w:rPr>
        <w:t xml:space="preserve"> </w:t>
      </w:r>
      <w:r>
        <w:rPr>
          <w:rFonts w:ascii="Arial" w:hAnsi="Arial" w:cs="Arial"/>
          <w:sz w:val="24"/>
          <w:szCs w:val="24"/>
          <w:lang w:val="en-US" w:eastAsia="de-DE"/>
        </w:rPr>
        <w:t xml:space="preserve">percentage of steroid-free maintenance medication, systolic and diastolic blood pressure, lipids (HDL, LDL, </w:t>
      </w:r>
      <w:r>
        <w:rPr>
          <w:rFonts w:ascii="Arial" w:hAnsi="Arial" w:cs="Arial"/>
          <w:sz w:val="24"/>
          <w:szCs w:val="24"/>
          <w:lang w:val="en-US" w:eastAsia="de-DE"/>
        </w:rPr>
        <w:lastRenderedPageBreak/>
        <w:t>triglycerides), or body weight. For incidence of PTDM (according to the ADA recommendations)</w:t>
      </w:r>
      <w:r>
        <w:rPr>
          <w:rFonts w:ascii="Arial" w:hAnsi="Arial" w:cs="Arial"/>
          <w:sz w:val="24"/>
          <w:szCs w:val="24"/>
          <w:lang w:val="en-US" w:eastAsia="de-DE"/>
        </w:rPr>
        <w:t xml:space="preserve"> during FU period, fasting glucose levels, HbA1c levels, oral glucose tolerance tests, as well as center diagnosis were considered</w:t>
      </w:r>
      <w:r>
        <w:rPr>
          <w:rFonts w:ascii="Arial" w:hAnsi="Arial" w:cs="Arial"/>
          <w:sz w:val="24"/>
          <w:szCs w:val="24"/>
          <w:vertAlign w:val="superscript"/>
          <w:lang w:val="en-US" w:eastAsia="de-DE"/>
        </w:rPr>
        <w:t>11</w:t>
      </w:r>
      <w:r>
        <w:rPr>
          <w:rFonts w:ascii="Arial" w:hAnsi="Arial" w:cs="Arial"/>
          <w:sz w:val="24"/>
          <w:szCs w:val="24"/>
          <w:lang w:val="en-US" w:eastAsia="de-DE"/>
        </w:rPr>
        <w:t>.</w:t>
      </w:r>
      <w:r>
        <w:rPr>
          <w:rFonts w:ascii="Arial" w:hAnsi="Arial" w:cs="Arial"/>
          <w:sz w:val="24"/>
          <w:szCs w:val="24"/>
          <w:vertAlign w:val="superscript"/>
          <w:lang w:val="en-US" w:eastAsia="de-DE"/>
        </w:rPr>
        <w:t xml:space="preserve">  </w:t>
      </w:r>
    </w:p>
    <w:p w:rsidR="00576C93" w:rsidRDefault="00576C93">
      <w:pPr>
        <w:spacing w:after="0" w:line="240" w:lineRule="auto"/>
        <w:jc w:val="both"/>
        <w:rPr>
          <w:rFonts w:ascii="Arial" w:hAnsi="Arial" w:cs="Arial"/>
          <w:b/>
          <w:sz w:val="24"/>
          <w:szCs w:val="24"/>
          <w:lang w:val="en-US" w:eastAsia="de-DE"/>
        </w:rPr>
      </w:pPr>
    </w:p>
    <w:p w:rsidR="00576C93" w:rsidRDefault="00043012">
      <w:pPr>
        <w:spacing w:after="0" w:line="240" w:lineRule="auto"/>
        <w:jc w:val="both"/>
        <w:rPr>
          <w:rFonts w:ascii="Arial" w:hAnsi="Arial" w:cs="Arial"/>
          <w:b/>
          <w:i/>
          <w:sz w:val="24"/>
          <w:szCs w:val="24"/>
          <w:lang w:eastAsia="de-DE"/>
        </w:rPr>
      </w:pPr>
      <w:r>
        <w:rPr>
          <w:rFonts w:ascii="Arial" w:hAnsi="Arial" w:cs="Arial"/>
          <w:b/>
          <w:i/>
          <w:sz w:val="24"/>
          <w:szCs w:val="24"/>
          <w:lang w:val="en-US" w:eastAsia="de-DE"/>
        </w:rPr>
        <w:t xml:space="preserve">Role of the funding source </w:t>
      </w: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The FU trial was designed and run by the first and last author who received financial suppo</w:t>
      </w:r>
      <w:r>
        <w:rPr>
          <w:rFonts w:ascii="Arial" w:hAnsi="Arial" w:cs="Arial"/>
          <w:sz w:val="24"/>
          <w:szCs w:val="24"/>
          <w:lang w:val="en-US" w:eastAsia="de-DE"/>
        </w:rPr>
        <w:t>rt from Astellas Pharma GmbH and Sanofi (Investigator-Initiated Trial: NCT 00724022, follow-up study DRKS00005786). Neither of the funders had any role in data collection, data analysis, data interpretation, or writing of the manuscript. An independent con</w:t>
      </w:r>
      <w:r>
        <w:rPr>
          <w:rFonts w:ascii="Arial" w:hAnsi="Arial" w:cs="Arial"/>
          <w:sz w:val="24"/>
          <w:szCs w:val="24"/>
          <w:lang w:val="en-US" w:eastAsia="de-DE"/>
        </w:rPr>
        <w:t>tract research organization (Coordination Center for Clinical Studies of the Technical University of Dresden, Dresden, Germany) was responsible for data collection, monitoring and statistical analyses. All authors had full access to all the data in the stu</w:t>
      </w:r>
      <w:r>
        <w:rPr>
          <w:rFonts w:ascii="Arial" w:hAnsi="Arial" w:cs="Arial"/>
          <w:sz w:val="24"/>
          <w:szCs w:val="24"/>
          <w:lang w:val="en-US" w:eastAsia="de-DE"/>
        </w:rPr>
        <w:t xml:space="preserve">dy and accept responsibility to submit for publication. </w:t>
      </w:r>
    </w:p>
    <w:p w:rsidR="00576C93" w:rsidRDefault="00576C93">
      <w:pPr>
        <w:spacing w:after="0" w:line="240" w:lineRule="auto"/>
        <w:jc w:val="both"/>
        <w:rPr>
          <w:rFonts w:ascii="Arial" w:hAnsi="Arial" w:cs="Arial"/>
          <w:sz w:val="24"/>
          <w:szCs w:val="24"/>
          <w:lang w:val="en-US" w:eastAsia="de-DE"/>
        </w:rPr>
      </w:pPr>
    </w:p>
    <w:p w:rsidR="00576C93" w:rsidRDefault="00043012">
      <w:pPr>
        <w:rPr>
          <w:rFonts w:ascii="Arial" w:hAnsi="Arial" w:cs="Arial"/>
          <w:b/>
          <w:sz w:val="24"/>
          <w:szCs w:val="24"/>
          <w:lang w:val="en-US" w:eastAsia="de-DE"/>
        </w:rPr>
      </w:pPr>
      <w:r>
        <w:br w:type="page"/>
      </w:r>
    </w:p>
    <w:p w:rsidR="00576C93" w:rsidRDefault="00043012">
      <w:pPr>
        <w:spacing w:after="0" w:line="240" w:lineRule="auto"/>
        <w:jc w:val="both"/>
        <w:rPr>
          <w:rFonts w:ascii="Arial" w:hAnsi="Arial" w:cs="Arial"/>
          <w:b/>
          <w:sz w:val="24"/>
          <w:szCs w:val="24"/>
          <w:lang w:val="en-US" w:eastAsia="de-DE"/>
        </w:rPr>
      </w:pPr>
      <w:r>
        <w:rPr>
          <w:rFonts w:ascii="Arial" w:hAnsi="Arial" w:cs="Arial"/>
          <w:b/>
          <w:sz w:val="24"/>
          <w:szCs w:val="24"/>
          <w:lang w:val="en-US" w:eastAsia="de-DE"/>
        </w:rPr>
        <w:lastRenderedPageBreak/>
        <w:t xml:space="preserve">Supplementary Results </w:t>
      </w:r>
    </w:p>
    <w:p w:rsidR="00576C93" w:rsidRDefault="00576C93">
      <w:pPr>
        <w:spacing w:after="0" w:line="240" w:lineRule="auto"/>
        <w:jc w:val="both"/>
        <w:rPr>
          <w:rFonts w:ascii="Arial" w:hAnsi="Arial" w:cs="Arial"/>
          <w:b/>
          <w:i/>
          <w:sz w:val="24"/>
          <w:szCs w:val="24"/>
          <w:lang w:val="en-US" w:eastAsia="de-DE"/>
        </w:rPr>
      </w:pPr>
    </w:p>
    <w:p w:rsidR="00576C93" w:rsidRDefault="00043012">
      <w:pPr>
        <w:spacing w:after="0" w:line="240" w:lineRule="auto"/>
        <w:jc w:val="both"/>
        <w:rPr>
          <w:rFonts w:ascii="Arial" w:hAnsi="Arial" w:cs="Arial"/>
          <w:sz w:val="24"/>
          <w:szCs w:val="24"/>
          <w:lang w:val="en-US" w:eastAsia="de-DE"/>
        </w:rPr>
      </w:pPr>
      <w:r>
        <w:rPr>
          <w:rFonts w:ascii="Arial" w:hAnsi="Arial" w:cs="Arial"/>
          <w:b/>
          <w:i/>
          <w:sz w:val="24"/>
          <w:szCs w:val="24"/>
          <w:lang w:val="en-US" w:eastAsia="de-DE"/>
        </w:rPr>
        <w:t xml:space="preserve">FU-study characteristics </w:t>
      </w: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 xml:space="preserve">Recipient gender consisted of 66% males and 34% females, mean age was 54.6 ± 11.7 years. For the Harmony follow-up population, pre-transplant </w:t>
      </w:r>
      <w:r>
        <w:rPr>
          <w:rFonts w:ascii="Arial" w:hAnsi="Arial" w:cs="Arial"/>
          <w:sz w:val="24"/>
          <w:szCs w:val="24"/>
          <w:lang w:val="en-US" w:eastAsia="de-DE"/>
        </w:rPr>
        <w:t>panel-reactive antibody levels of 0% were detected in 88% of the transplant recipients indicating an immunologically low-risk population. Only 4 % of FU patients received their second renal transplant and mean HLA-antigen matching for A, B, DR in all study</w:t>
      </w:r>
      <w:r>
        <w:rPr>
          <w:rFonts w:ascii="Arial" w:hAnsi="Arial" w:cs="Arial"/>
          <w:sz w:val="24"/>
          <w:szCs w:val="24"/>
          <w:lang w:val="en-US" w:eastAsia="de-DE"/>
        </w:rPr>
        <w:t xml:space="preserve"> arms was one or lower. The donor pool consisted of 89% deceased donors and only 11% living donors; 41% of the donor allografts were transplanted with expanded criteria</w:t>
      </w:r>
      <w:r>
        <w:rPr>
          <w:rFonts w:ascii="Arial" w:hAnsi="Arial" w:cs="Arial"/>
          <w:sz w:val="24"/>
          <w:szCs w:val="24"/>
          <w:vertAlign w:val="superscript"/>
          <w:lang w:val="en-US" w:eastAsia="de-DE"/>
        </w:rPr>
        <w:t>12</w:t>
      </w:r>
      <w:r>
        <w:rPr>
          <w:rFonts w:ascii="Arial" w:hAnsi="Arial" w:cs="Arial"/>
          <w:sz w:val="24"/>
          <w:szCs w:val="24"/>
          <w:lang w:val="en-US" w:eastAsia="de-DE"/>
        </w:rPr>
        <w:t xml:space="preserve">, with a mean donor age of 53.1± 15.5 years. Diabetes mellitus as a complicating risk </w:t>
      </w:r>
      <w:r>
        <w:rPr>
          <w:rFonts w:ascii="Arial" w:hAnsi="Arial" w:cs="Arial"/>
          <w:sz w:val="24"/>
          <w:szCs w:val="24"/>
          <w:lang w:val="en-US" w:eastAsia="de-DE"/>
        </w:rPr>
        <w:t xml:space="preserve">factor at the time of transplantation existed in 15% of original as well as FU patients. CMV high-risk serologic status was noted in 25% of the original and 26% of the FU patient set. </w:t>
      </w:r>
    </w:p>
    <w:p w:rsidR="00576C93" w:rsidRDefault="00576C93">
      <w:pPr>
        <w:spacing w:after="0" w:line="240" w:lineRule="auto"/>
        <w:jc w:val="both"/>
        <w:rPr>
          <w:rFonts w:ascii="Arial" w:hAnsi="Arial" w:cs="Arial"/>
          <w:sz w:val="24"/>
          <w:szCs w:val="24"/>
          <w:lang w:val="en-US" w:eastAsia="de-DE"/>
        </w:rPr>
      </w:pPr>
    </w:p>
    <w:p w:rsidR="00576C93" w:rsidRDefault="00043012">
      <w:pPr>
        <w:spacing w:after="0" w:line="240" w:lineRule="auto"/>
        <w:jc w:val="both"/>
        <w:rPr>
          <w:rFonts w:ascii="Arial" w:hAnsi="Arial" w:cs="Arial"/>
          <w:b/>
          <w:i/>
          <w:sz w:val="24"/>
          <w:szCs w:val="24"/>
          <w:lang w:val="en-US" w:eastAsia="de-DE"/>
        </w:rPr>
      </w:pPr>
      <w:r>
        <w:rPr>
          <w:rFonts w:ascii="Arial" w:hAnsi="Arial" w:cs="Arial"/>
          <w:b/>
          <w:i/>
          <w:sz w:val="24"/>
          <w:szCs w:val="24"/>
          <w:lang w:val="en-US" w:eastAsia="de-DE"/>
        </w:rPr>
        <w:t xml:space="preserve">Metabolic profiles </w:t>
      </w: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At the year three visit, mean systolic and diastolic arterial blood pressure was 134.6 ± 16.2 and 78.3 ± 10.4 mmHg, respectively. Five years after transplantation, mean systolic and diastolic arterial blood pressure was 137.1 ± 18.8 and 80.4 ± 10.1 mmHg, r</w:t>
      </w:r>
      <w:r>
        <w:rPr>
          <w:rFonts w:ascii="Arial" w:hAnsi="Arial" w:cs="Arial"/>
          <w:sz w:val="24"/>
          <w:szCs w:val="24"/>
          <w:lang w:val="en-US" w:eastAsia="de-DE"/>
        </w:rPr>
        <w:t xml:space="preserve">espectively. 55.8% of transplant recipients had the diagnosis of arterial hypertension and almost all (&gt; 96%) received treatment with at mean 2.7 antihypertensive agents. </w:t>
      </w:r>
    </w:p>
    <w:p w:rsidR="00576C93" w:rsidRDefault="00043012">
      <w:pPr>
        <w:spacing w:after="0" w:line="240" w:lineRule="auto"/>
        <w:jc w:val="both"/>
        <w:rPr>
          <w:rFonts w:ascii="Arial" w:hAnsi="Arial" w:cs="Arial"/>
          <w:sz w:val="24"/>
          <w:szCs w:val="24"/>
          <w:lang w:val="en-US" w:eastAsia="de-DE"/>
        </w:rPr>
      </w:pPr>
      <w:r>
        <w:rPr>
          <w:rFonts w:ascii="Arial" w:hAnsi="Arial" w:cs="Arial"/>
          <w:sz w:val="24"/>
          <w:szCs w:val="24"/>
          <w:lang w:val="en-US" w:eastAsia="de-DE"/>
        </w:rPr>
        <w:t>At both three and five-year visits, total cholesterol levels were at mean around 5.0</w:t>
      </w:r>
      <w:r>
        <w:rPr>
          <w:rFonts w:ascii="Arial" w:hAnsi="Arial" w:cs="Arial"/>
          <w:sz w:val="24"/>
          <w:szCs w:val="24"/>
          <w:lang w:val="en-US" w:eastAsia="de-DE"/>
        </w:rPr>
        <w:t xml:space="preserve"> mmol/l, LDL levels around 3.0 mmol/l, and triglycerides around 2.1 mmol/l. The mean weight was at baseline 78.6 ± 15.0 kg in the FU patients, at the three-year visit 80.1 ± 16.6 kg, and at the five-year visit at 81.3 ± 17.1 kg. The mean weight gain was al</w:t>
      </w:r>
      <w:r>
        <w:rPr>
          <w:rFonts w:ascii="Arial" w:hAnsi="Arial" w:cs="Arial"/>
          <w:sz w:val="24"/>
          <w:szCs w:val="24"/>
          <w:lang w:val="en-US" w:eastAsia="de-DE"/>
        </w:rPr>
        <w:t xml:space="preserve">so similar in all three groups (Table 3). The mean BMI values changed from 26.4 ± 4.5 at baseline to 26.7 ± 5.0 or 27.0 ± 5.2 at year three or five, respectively. The BMI gain during FU was not different in all groups (Table 3). </w:t>
      </w:r>
    </w:p>
    <w:p w:rsidR="00576C93" w:rsidRDefault="00576C93">
      <w:pPr>
        <w:spacing w:after="0" w:line="240" w:lineRule="auto"/>
        <w:jc w:val="both"/>
        <w:rPr>
          <w:rFonts w:ascii="Arial" w:hAnsi="Arial" w:cs="Arial"/>
          <w:sz w:val="24"/>
          <w:szCs w:val="24"/>
          <w:lang w:val="en-US" w:eastAsia="de-DE"/>
        </w:rPr>
      </w:pPr>
    </w:p>
    <w:p w:rsidR="00576C93" w:rsidRDefault="00043012">
      <w:pPr>
        <w:spacing w:after="0" w:line="240" w:lineRule="auto"/>
        <w:jc w:val="both"/>
        <w:rPr>
          <w:rFonts w:ascii="Arial" w:hAnsi="Arial" w:cs="Arial"/>
          <w:b/>
          <w:sz w:val="24"/>
          <w:szCs w:val="24"/>
          <w:lang w:val="en-US" w:eastAsia="de-DE"/>
        </w:rPr>
      </w:pPr>
      <w:r>
        <w:rPr>
          <w:rFonts w:ascii="Arial" w:hAnsi="Arial" w:cs="Arial"/>
          <w:b/>
          <w:sz w:val="24"/>
          <w:szCs w:val="24"/>
          <w:lang w:val="en-US" w:eastAsia="de-DE"/>
        </w:rPr>
        <w:t xml:space="preserve">Supplementary Figure </w:t>
      </w:r>
    </w:p>
    <w:p w:rsidR="00576C93" w:rsidRDefault="00576C93">
      <w:pPr>
        <w:spacing w:after="0" w:line="240" w:lineRule="auto"/>
        <w:jc w:val="both"/>
        <w:rPr>
          <w:rFonts w:ascii="Arial" w:hAnsi="Arial" w:cs="Arial"/>
          <w:b/>
          <w:i/>
          <w:sz w:val="24"/>
          <w:szCs w:val="24"/>
          <w:lang w:val="en-US"/>
        </w:rPr>
      </w:pPr>
    </w:p>
    <w:p w:rsidR="00576C93" w:rsidRDefault="00043012">
      <w:pPr>
        <w:spacing w:after="0" w:line="240" w:lineRule="auto"/>
        <w:jc w:val="both"/>
        <w:rPr>
          <w:rFonts w:ascii="Arial" w:hAnsi="Arial" w:cs="Arial"/>
          <w:b/>
          <w:i/>
          <w:sz w:val="24"/>
          <w:szCs w:val="24"/>
          <w:lang w:val="en-US"/>
        </w:rPr>
      </w:pPr>
      <w:r>
        <w:rPr>
          <w:rFonts w:ascii="Arial" w:hAnsi="Arial" w:cs="Arial"/>
          <w:b/>
          <w:i/>
          <w:sz w:val="24"/>
          <w:szCs w:val="24"/>
          <w:lang w:val="en-US"/>
        </w:rPr>
        <w:t>Fi</w:t>
      </w:r>
      <w:r>
        <w:rPr>
          <w:rFonts w:ascii="Arial" w:hAnsi="Arial" w:cs="Arial"/>
          <w:b/>
          <w:i/>
          <w:sz w:val="24"/>
          <w:szCs w:val="24"/>
          <w:lang w:val="en-US"/>
        </w:rPr>
        <w:t xml:space="preserve">gure S1: Flow chart </w:t>
      </w:r>
    </w:p>
    <w:p w:rsidR="00576C93" w:rsidRDefault="00043012">
      <w:pPr>
        <w:spacing w:after="0" w:line="240" w:lineRule="auto"/>
        <w:jc w:val="both"/>
        <w:rPr>
          <w:rFonts w:ascii="Arial" w:eastAsia="Calibri" w:hAnsi="Arial" w:cs="Arial"/>
          <w:sz w:val="24"/>
          <w:szCs w:val="24"/>
          <w:lang w:val="en-US" w:eastAsia="de-DE"/>
        </w:rPr>
      </w:pPr>
      <w:r>
        <w:rPr>
          <w:rFonts w:ascii="Arial" w:eastAsia="Calibri" w:hAnsi="Arial" w:cs="Arial"/>
          <w:sz w:val="24"/>
          <w:szCs w:val="24"/>
          <w:lang w:val="en-US" w:eastAsia="de-DE"/>
        </w:rPr>
        <w:t xml:space="preserve">Flow chart of the Harmony post-trial follow-up study participants. </w:t>
      </w:r>
    </w:p>
    <w:p w:rsidR="00576C93" w:rsidRDefault="00576C93">
      <w:pPr>
        <w:spacing w:after="0" w:line="240" w:lineRule="auto"/>
        <w:jc w:val="both"/>
        <w:rPr>
          <w:rFonts w:ascii="Arial" w:hAnsi="Arial" w:cs="Arial"/>
          <w:b/>
          <w:sz w:val="24"/>
          <w:szCs w:val="24"/>
          <w:lang w:val="en-US" w:eastAsia="de-DE"/>
        </w:rPr>
      </w:pPr>
    </w:p>
    <w:p w:rsidR="00576C93" w:rsidRDefault="00576C93">
      <w:pPr>
        <w:spacing w:after="0" w:line="240" w:lineRule="auto"/>
        <w:jc w:val="both"/>
        <w:rPr>
          <w:rFonts w:ascii="Arial" w:hAnsi="Arial" w:cs="Arial"/>
          <w:b/>
          <w:sz w:val="24"/>
          <w:szCs w:val="24"/>
          <w:lang w:val="en-US" w:eastAsia="de-DE"/>
        </w:rPr>
      </w:pPr>
    </w:p>
    <w:p w:rsidR="00576C93" w:rsidRDefault="00043012">
      <w:pPr>
        <w:spacing w:after="0" w:line="240" w:lineRule="auto"/>
        <w:jc w:val="both"/>
        <w:rPr>
          <w:rFonts w:ascii="Arial" w:hAnsi="Arial" w:cs="Arial"/>
          <w:b/>
          <w:sz w:val="24"/>
          <w:szCs w:val="24"/>
          <w:lang w:val="en-US" w:eastAsia="de-DE"/>
        </w:rPr>
      </w:pPr>
      <w:r>
        <w:rPr>
          <w:rFonts w:ascii="Arial" w:hAnsi="Arial" w:cs="Arial"/>
          <w:b/>
          <w:sz w:val="24"/>
          <w:szCs w:val="24"/>
          <w:lang w:val="en-US" w:eastAsia="de-DE"/>
        </w:rPr>
        <w:t>Supplementary Tables</w:t>
      </w:r>
    </w:p>
    <w:p w:rsidR="00576C93" w:rsidRDefault="00576C93">
      <w:pPr>
        <w:spacing w:after="0" w:line="240" w:lineRule="auto"/>
        <w:jc w:val="both"/>
        <w:rPr>
          <w:rFonts w:ascii="Arial" w:hAnsi="Arial" w:cs="Arial"/>
          <w:b/>
          <w:sz w:val="24"/>
          <w:szCs w:val="24"/>
          <w:lang w:val="en-US" w:eastAsia="de-DE"/>
        </w:rPr>
      </w:pPr>
    </w:p>
    <w:p w:rsidR="00576C93" w:rsidRDefault="00043012">
      <w:pPr>
        <w:spacing w:after="0" w:line="240" w:lineRule="auto"/>
        <w:rPr>
          <w:b/>
          <w:bCs/>
          <w:i/>
          <w:iCs/>
          <w:sz w:val="24"/>
          <w:szCs w:val="24"/>
        </w:rPr>
      </w:pPr>
      <w:r>
        <w:rPr>
          <w:rFonts w:ascii="Arial" w:hAnsi="Arial" w:cs="Arial"/>
          <w:b/>
          <w:bCs/>
          <w:i/>
          <w:iCs/>
          <w:sz w:val="24"/>
          <w:szCs w:val="24"/>
          <w:lang w:val="en-US"/>
        </w:rPr>
        <w:t>Table S1: Causes of death in the Harmony and Harmony FU study</w:t>
      </w:r>
    </w:p>
    <w:p w:rsidR="00576C93" w:rsidRDefault="00576C93">
      <w:pPr>
        <w:spacing w:after="0" w:line="240" w:lineRule="auto"/>
        <w:rPr>
          <w:rFonts w:ascii="Arial" w:hAnsi="Arial" w:cs="Arial"/>
          <w:sz w:val="20"/>
          <w:szCs w:val="20"/>
          <w:lang w:val="en-US"/>
        </w:rPr>
      </w:pPr>
    </w:p>
    <w:tbl>
      <w:tblPr>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6"/>
        <w:gridCol w:w="1350"/>
        <w:gridCol w:w="1622"/>
        <w:gridCol w:w="1623"/>
        <w:gridCol w:w="1077"/>
        <w:gridCol w:w="1350"/>
      </w:tblGrid>
      <w:tr w:rsidR="00576C93" w:rsidTr="004E4D4C">
        <w:tc>
          <w:tcPr>
            <w:tcW w:w="2155"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Cause of death</w:t>
            </w:r>
          </w:p>
        </w:tc>
        <w:tc>
          <w:tcPr>
            <w:tcW w:w="1350"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Category</w:t>
            </w:r>
          </w:p>
        </w:tc>
        <w:tc>
          <w:tcPr>
            <w:tcW w:w="1622"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Arm A:</w:t>
            </w:r>
          </w:p>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Basiliximab/ steroids</w:t>
            </w:r>
          </w:p>
        </w:tc>
        <w:tc>
          <w:tcPr>
            <w:tcW w:w="1623"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Arm B:</w:t>
            </w:r>
          </w:p>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Basiliximab/RSWD</w:t>
            </w:r>
          </w:p>
        </w:tc>
        <w:tc>
          <w:tcPr>
            <w:tcW w:w="1077"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Arm</w:t>
            </w:r>
            <w:r w:rsidRPr="004E4D4C">
              <w:rPr>
                <w:rFonts w:ascii="Arial" w:eastAsia="Calibri" w:hAnsi="Arial" w:cs="Arial"/>
                <w:b/>
                <w:sz w:val="24"/>
                <w:szCs w:val="24"/>
                <w:lang w:val="en-US" w:eastAsia="de-DE"/>
              </w:rPr>
              <w:t xml:space="preserve"> C:</w:t>
            </w:r>
          </w:p>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rATG/ RSWD</w:t>
            </w:r>
          </w:p>
        </w:tc>
        <w:tc>
          <w:tcPr>
            <w:tcW w:w="1350"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 xml:space="preserve">Total-Harmony </w:t>
            </w:r>
          </w:p>
        </w:tc>
      </w:tr>
      <w:tr w:rsidR="00576C93" w:rsidTr="004E4D4C">
        <w:tc>
          <w:tcPr>
            <w:tcW w:w="2155"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Cardiovascular</w:t>
            </w:r>
          </w:p>
        </w:tc>
        <w:tc>
          <w:tcPr>
            <w:tcW w:w="1350"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162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6</w:t>
            </w:r>
          </w:p>
        </w:tc>
        <w:tc>
          <w:tcPr>
            <w:tcW w:w="1623"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2</w:t>
            </w:r>
          </w:p>
        </w:tc>
        <w:tc>
          <w:tcPr>
            <w:tcW w:w="107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3</w:t>
            </w:r>
          </w:p>
        </w:tc>
        <w:tc>
          <w:tcPr>
            <w:tcW w:w="1350" w:type="dxa"/>
          </w:tcPr>
          <w:p w:rsidR="00576C93" w:rsidRDefault="00043012" w:rsidP="004E4D4C">
            <w:pPr>
              <w:widowControl w:val="0"/>
              <w:spacing w:after="0" w:line="240" w:lineRule="auto"/>
              <w:jc w:val="center"/>
              <w:rPr>
                <w:rFonts w:ascii="Arial" w:hAnsi="Arial" w:cs="Arial"/>
                <w:sz w:val="24"/>
                <w:szCs w:val="24"/>
                <w:lang w:val="en-US" w:eastAsia="de-DE"/>
              </w:rPr>
            </w:pPr>
            <w:r w:rsidRPr="004E4D4C">
              <w:rPr>
                <w:rFonts w:ascii="Arial" w:hAnsi="Arial" w:cs="Arial"/>
                <w:sz w:val="24"/>
                <w:szCs w:val="24"/>
                <w:lang w:val="en-US" w:eastAsia="de-DE"/>
              </w:rPr>
              <w:t>11</w:t>
            </w:r>
          </w:p>
        </w:tc>
      </w:tr>
      <w:tr w:rsidR="00576C93" w:rsidTr="004E4D4C">
        <w:tc>
          <w:tcPr>
            <w:tcW w:w="2155"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Infections</w:t>
            </w:r>
          </w:p>
        </w:tc>
        <w:tc>
          <w:tcPr>
            <w:tcW w:w="1350"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162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2</w:t>
            </w:r>
          </w:p>
        </w:tc>
        <w:tc>
          <w:tcPr>
            <w:tcW w:w="1623"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0</w:t>
            </w:r>
          </w:p>
        </w:tc>
        <w:tc>
          <w:tcPr>
            <w:tcW w:w="107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3</w:t>
            </w:r>
          </w:p>
        </w:tc>
        <w:tc>
          <w:tcPr>
            <w:tcW w:w="1350" w:type="dxa"/>
          </w:tcPr>
          <w:p w:rsidR="00576C93" w:rsidRDefault="00043012" w:rsidP="004E4D4C">
            <w:pPr>
              <w:widowControl w:val="0"/>
              <w:spacing w:after="0" w:line="240" w:lineRule="auto"/>
              <w:jc w:val="center"/>
              <w:rPr>
                <w:rFonts w:ascii="Arial" w:hAnsi="Arial" w:cs="Arial"/>
                <w:sz w:val="24"/>
                <w:szCs w:val="24"/>
                <w:lang w:val="en-US" w:eastAsia="de-DE"/>
              </w:rPr>
            </w:pPr>
            <w:r w:rsidRPr="004E4D4C">
              <w:rPr>
                <w:rFonts w:ascii="Arial" w:hAnsi="Arial" w:cs="Arial"/>
                <w:sz w:val="24"/>
                <w:szCs w:val="24"/>
                <w:lang w:val="en-US" w:eastAsia="de-DE"/>
              </w:rPr>
              <w:t>5</w:t>
            </w:r>
          </w:p>
        </w:tc>
      </w:tr>
      <w:tr w:rsidR="00576C93" w:rsidTr="004E4D4C">
        <w:tc>
          <w:tcPr>
            <w:tcW w:w="2155"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Cancer</w:t>
            </w:r>
          </w:p>
        </w:tc>
        <w:tc>
          <w:tcPr>
            <w:tcW w:w="1350"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162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2</w:t>
            </w:r>
          </w:p>
        </w:tc>
        <w:tc>
          <w:tcPr>
            <w:tcW w:w="1623"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0</w:t>
            </w:r>
          </w:p>
        </w:tc>
        <w:tc>
          <w:tcPr>
            <w:tcW w:w="107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0</w:t>
            </w:r>
          </w:p>
        </w:tc>
        <w:tc>
          <w:tcPr>
            <w:tcW w:w="1350" w:type="dxa"/>
          </w:tcPr>
          <w:p w:rsidR="00576C93" w:rsidRDefault="00043012" w:rsidP="004E4D4C">
            <w:pPr>
              <w:widowControl w:val="0"/>
              <w:spacing w:after="0" w:line="240" w:lineRule="auto"/>
              <w:jc w:val="center"/>
              <w:rPr>
                <w:rFonts w:ascii="Arial" w:hAnsi="Arial" w:cs="Arial"/>
                <w:sz w:val="24"/>
                <w:szCs w:val="24"/>
                <w:lang w:val="en-US" w:eastAsia="de-DE"/>
              </w:rPr>
            </w:pPr>
            <w:r w:rsidRPr="004E4D4C">
              <w:rPr>
                <w:rFonts w:ascii="Arial" w:hAnsi="Arial" w:cs="Arial"/>
                <w:sz w:val="24"/>
                <w:szCs w:val="24"/>
                <w:lang w:val="en-US" w:eastAsia="de-DE"/>
              </w:rPr>
              <w:t>2</w:t>
            </w:r>
          </w:p>
        </w:tc>
      </w:tr>
      <w:tr w:rsidR="00576C93" w:rsidTr="004E4D4C">
        <w:tc>
          <w:tcPr>
            <w:tcW w:w="2155"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Other</w:t>
            </w:r>
          </w:p>
        </w:tc>
        <w:tc>
          <w:tcPr>
            <w:tcW w:w="1350"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162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15</w:t>
            </w:r>
          </w:p>
        </w:tc>
        <w:tc>
          <w:tcPr>
            <w:tcW w:w="1623"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11</w:t>
            </w:r>
          </w:p>
        </w:tc>
        <w:tc>
          <w:tcPr>
            <w:tcW w:w="107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8</w:t>
            </w:r>
          </w:p>
        </w:tc>
        <w:tc>
          <w:tcPr>
            <w:tcW w:w="1350" w:type="dxa"/>
          </w:tcPr>
          <w:p w:rsidR="00576C93" w:rsidRDefault="00043012" w:rsidP="004E4D4C">
            <w:pPr>
              <w:widowControl w:val="0"/>
              <w:spacing w:after="0" w:line="240" w:lineRule="auto"/>
              <w:jc w:val="center"/>
              <w:rPr>
                <w:rFonts w:ascii="Arial" w:hAnsi="Arial" w:cs="Arial"/>
                <w:sz w:val="24"/>
                <w:szCs w:val="24"/>
                <w:lang w:val="en-US" w:eastAsia="de-DE"/>
              </w:rPr>
            </w:pPr>
            <w:r w:rsidRPr="004E4D4C">
              <w:rPr>
                <w:rFonts w:ascii="Arial" w:hAnsi="Arial" w:cs="Arial"/>
                <w:sz w:val="24"/>
                <w:szCs w:val="24"/>
                <w:lang w:val="en-US" w:eastAsia="de-DE"/>
              </w:rPr>
              <w:t>34</w:t>
            </w:r>
          </w:p>
        </w:tc>
      </w:tr>
      <w:tr w:rsidR="00576C93" w:rsidTr="004E4D4C">
        <w:tc>
          <w:tcPr>
            <w:tcW w:w="2155" w:type="dxa"/>
          </w:tcPr>
          <w:p w:rsidR="00576C93" w:rsidRDefault="00043012">
            <w:pPr>
              <w:widowControl w:val="0"/>
              <w:spacing w:after="0" w:line="240" w:lineRule="auto"/>
              <w:rPr>
                <w:sz w:val="24"/>
                <w:szCs w:val="24"/>
              </w:rPr>
            </w:pPr>
            <w:r>
              <w:rPr>
                <w:sz w:val="24"/>
                <w:szCs w:val="24"/>
              </w:rPr>
              <w:t>‍</w:t>
            </w:r>
          </w:p>
        </w:tc>
        <w:tc>
          <w:tcPr>
            <w:tcW w:w="1350" w:type="dxa"/>
          </w:tcPr>
          <w:p w:rsidR="00576C93" w:rsidRDefault="00576C93" w:rsidP="004E4D4C">
            <w:pPr>
              <w:widowControl w:val="0"/>
              <w:spacing w:after="0" w:line="240" w:lineRule="auto"/>
              <w:jc w:val="center"/>
              <w:rPr>
                <w:sz w:val="24"/>
                <w:szCs w:val="24"/>
              </w:rPr>
            </w:pPr>
          </w:p>
        </w:tc>
        <w:tc>
          <w:tcPr>
            <w:tcW w:w="1622" w:type="dxa"/>
          </w:tcPr>
          <w:p w:rsidR="00576C93" w:rsidRDefault="00576C93" w:rsidP="004E4D4C">
            <w:pPr>
              <w:widowControl w:val="0"/>
              <w:spacing w:after="0" w:line="240" w:lineRule="auto"/>
              <w:jc w:val="center"/>
              <w:rPr>
                <w:sz w:val="24"/>
                <w:szCs w:val="24"/>
              </w:rPr>
            </w:pPr>
          </w:p>
        </w:tc>
        <w:tc>
          <w:tcPr>
            <w:tcW w:w="1623" w:type="dxa"/>
          </w:tcPr>
          <w:p w:rsidR="00576C93" w:rsidRDefault="00576C93" w:rsidP="004E4D4C">
            <w:pPr>
              <w:widowControl w:val="0"/>
              <w:spacing w:after="0" w:line="240" w:lineRule="auto"/>
              <w:jc w:val="center"/>
              <w:rPr>
                <w:sz w:val="24"/>
                <w:szCs w:val="24"/>
              </w:rPr>
            </w:pPr>
          </w:p>
        </w:tc>
        <w:tc>
          <w:tcPr>
            <w:tcW w:w="1077" w:type="dxa"/>
          </w:tcPr>
          <w:p w:rsidR="00576C93" w:rsidRDefault="00576C93" w:rsidP="004E4D4C">
            <w:pPr>
              <w:widowControl w:val="0"/>
              <w:spacing w:after="0" w:line="240" w:lineRule="auto"/>
              <w:jc w:val="center"/>
              <w:rPr>
                <w:sz w:val="24"/>
                <w:szCs w:val="24"/>
              </w:rPr>
            </w:pPr>
          </w:p>
        </w:tc>
        <w:tc>
          <w:tcPr>
            <w:tcW w:w="1350" w:type="dxa"/>
          </w:tcPr>
          <w:p w:rsidR="00576C93" w:rsidRDefault="00576C93" w:rsidP="004E4D4C">
            <w:pPr>
              <w:widowControl w:val="0"/>
              <w:spacing w:after="0" w:line="240" w:lineRule="auto"/>
              <w:jc w:val="center"/>
              <w:rPr>
                <w:rFonts w:ascii="Arial" w:hAnsi="Arial" w:cs="Arial"/>
                <w:sz w:val="24"/>
                <w:szCs w:val="24"/>
                <w:lang w:val="en-US" w:eastAsia="de-DE"/>
              </w:rPr>
            </w:pPr>
          </w:p>
        </w:tc>
      </w:tr>
      <w:tr w:rsidR="00576C93" w:rsidTr="004E4D4C">
        <w:tc>
          <w:tcPr>
            <w:tcW w:w="2155"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Sum</w:t>
            </w:r>
          </w:p>
        </w:tc>
        <w:tc>
          <w:tcPr>
            <w:tcW w:w="1350"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162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25</w:t>
            </w:r>
          </w:p>
        </w:tc>
        <w:tc>
          <w:tcPr>
            <w:tcW w:w="1623"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13</w:t>
            </w:r>
          </w:p>
        </w:tc>
        <w:tc>
          <w:tcPr>
            <w:tcW w:w="107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14</w:t>
            </w:r>
          </w:p>
        </w:tc>
        <w:tc>
          <w:tcPr>
            <w:tcW w:w="1350" w:type="dxa"/>
          </w:tcPr>
          <w:p w:rsidR="00576C93" w:rsidRDefault="00576C93" w:rsidP="004E4D4C">
            <w:pPr>
              <w:widowControl w:val="0"/>
              <w:spacing w:after="0" w:line="240" w:lineRule="auto"/>
              <w:jc w:val="center"/>
              <w:rPr>
                <w:rFonts w:ascii="Arial" w:hAnsi="Arial" w:cs="Arial"/>
                <w:sz w:val="24"/>
                <w:szCs w:val="24"/>
                <w:lang w:val="en-US" w:eastAsia="de-DE"/>
              </w:rPr>
            </w:pPr>
          </w:p>
        </w:tc>
      </w:tr>
    </w:tbl>
    <w:p w:rsidR="00576C93" w:rsidRDefault="00576C93"/>
    <w:p w:rsidR="00576C93" w:rsidRDefault="00043012">
      <w:pPr>
        <w:spacing w:after="0" w:line="240" w:lineRule="auto"/>
        <w:jc w:val="both"/>
        <w:rPr>
          <w:rFonts w:ascii="Arial" w:hAnsi="Arial" w:cs="Arial"/>
          <w:sz w:val="24"/>
          <w:szCs w:val="24"/>
          <w:lang w:val="en-US" w:eastAsia="de-DE"/>
        </w:rPr>
      </w:pPr>
      <w:r w:rsidRPr="004E4D4C">
        <w:rPr>
          <w:rFonts w:ascii="Arial" w:hAnsi="Arial" w:cs="Arial"/>
          <w:sz w:val="24"/>
          <w:szCs w:val="24"/>
          <w:lang w:val="en-US" w:eastAsia="de-DE"/>
        </w:rPr>
        <w:t xml:space="preserve">Table S1 depicts the causes of death of deceased patients during Harmony and Harmony FU. "Other" includes </w:t>
      </w:r>
      <w:r w:rsidRPr="004E4D4C">
        <w:rPr>
          <w:rFonts w:ascii="Arial" w:hAnsi="Arial" w:cs="Arial"/>
          <w:sz w:val="24"/>
          <w:szCs w:val="24"/>
          <w:lang w:val="en-US" w:eastAsia="de-DE"/>
        </w:rPr>
        <w:t xml:space="preserve">censored cases that occurred between the end of the </w:t>
      </w:r>
      <w:r w:rsidRPr="004E4D4C">
        <w:rPr>
          <w:rFonts w:ascii="Arial" w:hAnsi="Arial" w:cs="Arial"/>
          <w:sz w:val="24"/>
          <w:szCs w:val="24"/>
          <w:lang w:val="en-US" w:eastAsia="de-DE"/>
        </w:rPr>
        <w:lastRenderedPageBreak/>
        <w:t>Harmony study and the start of the Harmony Follow Up study, along with various other causes such as pulmonary embolism, bleeding, accidents and more. All deaths in the centres participating in the Harmony</w:t>
      </w:r>
      <w:r w:rsidRPr="004E4D4C">
        <w:rPr>
          <w:rFonts w:ascii="Arial" w:hAnsi="Arial" w:cs="Arial"/>
          <w:sz w:val="24"/>
          <w:szCs w:val="24"/>
          <w:lang w:val="en-US" w:eastAsia="de-DE"/>
        </w:rPr>
        <w:t xml:space="preserve"> FU study were recorded without exception.</w:t>
      </w:r>
    </w:p>
    <w:p w:rsidR="00576C93" w:rsidRDefault="00576C93">
      <w:pPr>
        <w:spacing w:after="0" w:line="240" w:lineRule="auto"/>
        <w:jc w:val="both"/>
        <w:rPr>
          <w:rFonts w:ascii="Arial" w:hAnsi="Arial" w:cs="Arial"/>
          <w:sz w:val="24"/>
          <w:szCs w:val="24"/>
          <w:lang w:val="en-US" w:eastAsia="de-DE"/>
        </w:rPr>
        <w:sectPr w:rsidR="00576C93">
          <w:pgSz w:w="11906" w:h="16838"/>
          <w:pgMar w:top="1417" w:right="1417" w:bottom="1134" w:left="1417" w:header="0" w:footer="0" w:gutter="0"/>
          <w:cols w:space="720"/>
          <w:formProt w:val="0"/>
          <w:docGrid w:linePitch="360" w:charSpace="4096"/>
        </w:sectPr>
      </w:pPr>
    </w:p>
    <w:p w:rsidR="00576C93" w:rsidRDefault="00576C93">
      <w:pPr>
        <w:spacing w:after="0" w:line="240" w:lineRule="auto"/>
        <w:jc w:val="both"/>
        <w:rPr>
          <w:rFonts w:ascii="Arial" w:hAnsi="Arial" w:cs="Arial"/>
          <w:sz w:val="20"/>
          <w:szCs w:val="20"/>
          <w:lang w:val="en-US" w:eastAsia="de-DE"/>
        </w:rPr>
      </w:pPr>
    </w:p>
    <w:p w:rsidR="00576C93" w:rsidRDefault="00043012">
      <w:pPr>
        <w:spacing w:after="0" w:line="240" w:lineRule="auto"/>
        <w:rPr>
          <w:b/>
          <w:bCs/>
          <w:i/>
          <w:iCs/>
          <w:sz w:val="24"/>
          <w:szCs w:val="24"/>
        </w:rPr>
      </w:pPr>
      <w:r>
        <w:rPr>
          <w:rFonts w:ascii="Arial" w:hAnsi="Arial" w:cs="Arial"/>
          <w:b/>
          <w:bCs/>
          <w:i/>
          <w:iCs/>
          <w:sz w:val="24"/>
          <w:szCs w:val="24"/>
          <w:lang w:val="en-US"/>
        </w:rPr>
        <w:t>Table S2: Causes of graft loss in the Harmony and Harmony FU study</w:t>
      </w:r>
    </w:p>
    <w:p w:rsidR="00576C93" w:rsidRDefault="00576C93">
      <w:pPr>
        <w:spacing w:after="0" w:line="240" w:lineRule="auto"/>
        <w:rPr>
          <w:rFonts w:ascii="Arial" w:hAnsi="Arial" w:cs="Arial"/>
          <w:b/>
          <w:bCs/>
          <w:i/>
          <w:iCs/>
          <w:sz w:val="24"/>
          <w:szCs w:val="24"/>
          <w:lang w:val="en-US"/>
        </w:rPr>
      </w:pPr>
    </w:p>
    <w:tbl>
      <w:tblPr>
        <w:tblW w:w="14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328"/>
        <w:gridCol w:w="2697"/>
        <w:gridCol w:w="2462"/>
        <w:gridCol w:w="1768"/>
        <w:gridCol w:w="2074"/>
      </w:tblGrid>
      <w:tr w:rsidR="00576C93" w:rsidTr="004E4D4C">
        <w:tc>
          <w:tcPr>
            <w:tcW w:w="4247" w:type="dxa"/>
            <w:shd w:val="clear" w:color="auto" w:fill="D9D9D9"/>
          </w:tcPr>
          <w:p w:rsidR="00576C93" w:rsidRDefault="00043012">
            <w:pPr>
              <w:widowControl w:val="0"/>
              <w:spacing w:after="0" w:line="240" w:lineRule="auto"/>
              <w:rPr>
                <w:rFonts w:ascii="Arial" w:eastAsia="Calibri" w:hAnsi="Arial" w:cs="Arial"/>
                <w:b/>
                <w:lang w:val="en-US" w:eastAsia="de-DE"/>
              </w:rPr>
            </w:pPr>
            <w:r w:rsidRPr="004E4D4C">
              <w:rPr>
                <w:rFonts w:ascii="Arial" w:eastAsia="Calibri" w:hAnsi="Arial" w:cs="Arial"/>
                <w:b/>
                <w:sz w:val="24"/>
                <w:szCs w:val="24"/>
                <w:lang w:val="en-US" w:eastAsia="de-DE"/>
              </w:rPr>
              <w:t xml:space="preserve">Cause of </w:t>
            </w:r>
            <w:r>
              <w:rPr>
                <w:rFonts w:ascii="Arial" w:eastAsia="Calibri" w:hAnsi="Arial" w:cs="Arial"/>
                <w:b/>
                <w:sz w:val="24"/>
                <w:szCs w:val="24"/>
                <w:lang w:val="en-US" w:eastAsia="de-DE"/>
              </w:rPr>
              <w:t>graft loss</w:t>
            </w:r>
          </w:p>
        </w:tc>
        <w:tc>
          <w:tcPr>
            <w:tcW w:w="1328"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Category</w:t>
            </w:r>
          </w:p>
        </w:tc>
        <w:tc>
          <w:tcPr>
            <w:tcW w:w="2697"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Arm A:</w:t>
            </w:r>
          </w:p>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Basiliximab/</w:t>
            </w:r>
            <w:r>
              <w:rPr>
                <w:rFonts w:ascii="Arial" w:eastAsia="Calibri" w:hAnsi="Arial" w:cs="Arial"/>
                <w:b/>
                <w:sz w:val="24"/>
                <w:szCs w:val="24"/>
                <w:lang w:val="en-US" w:eastAsia="de-DE"/>
              </w:rPr>
              <w:t>S</w:t>
            </w:r>
            <w:r w:rsidRPr="004E4D4C">
              <w:rPr>
                <w:rFonts w:ascii="Arial" w:eastAsia="Calibri" w:hAnsi="Arial" w:cs="Arial"/>
                <w:b/>
                <w:sz w:val="24"/>
                <w:szCs w:val="24"/>
                <w:lang w:val="en-US" w:eastAsia="de-DE"/>
              </w:rPr>
              <w:t>teroids</w:t>
            </w:r>
          </w:p>
        </w:tc>
        <w:tc>
          <w:tcPr>
            <w:tcW w:w="2462"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Arm B:</w:t>
            </w:r>
          </w:p>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Basiliximab/RSWD</w:t>
            </w:r>
          </w:p>
        </w:tc>
        <w:tc>
          <w:tcPr>
            <w:tcW w:w="1768"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Arm C:</w:t>
            </w:r>
          </w:p>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rATG/ RSWD</w:t>
            </w:r>
          </w:p>
        </w:tc>
        <w:tc>
          <w:tcPr>
            <w:tcW w:w="2074" w:type="dxa"/>
            <w:shd w:val="clear" w:color="auto" w:fill="D9D9D9"/>
          </w:tcPr>
          <w:p w:rsidR="00576C93" w:rsidRDefault="00043012">
            <w:pPr>
              <w:widowControl w:val="0"/>
              <w:spacing w:after="0" w:line="240" w:lineRule="auto"/>
              <w:rPr>
                <w:sz w:val="24"/>
                <w:szCs w:val="24"/>
              </w:rPr>
            </w:pPr>
            <w:r w:rsidRPr="004E4D4C">
              <w:rPr>
                <w:rFonts w:ascii="Arial" w:eastAsia="Calibri" w:hAnsi="Arial" w:cs="Arial"/>
                <w:b/>
                <w:sz w:val="24"/>
                <w:szCs w:val="24"/>
                <w:lang w:val="en-US" w:eastAsia="de-DE"/>
              </w:rPr>
              <w:t xml:space="preserve">Total-Harmony </w:t>
            </w:r>
          </w:p>
        </w:tc>
      </w:tr>
      <w:tr w:rsidR="00576C93" w:rsidTr="004E4D4C">
        <w:tc>
          <w:tcPr>
            <w:tcW w:w="4247"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 xml:space="preserve">Recurrence </w:t>
            </w:r>
            <w:r w:rsidRPr="004E4D4C">
              <w:rPr>
                <w:rFonts w:ascii="Arial" w:eastAsia="Calibri" w:hAnsi="Arial" w:cs="Arial"/>
                <w:sz w:val="24"/>
                <w:szCs w:val="24"/>
                <w:lang w:val="en-US" w:eastAsia="de-DE"/>
              </w:rPr>
              <w:t>of underlying disease</w:t>
            </w:r>
          </w:p>
        </w:tc>
        <w:tc>
          <w:tcPr>
            <w:tcW w:w="132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269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2</w:t>
            </w:r>
          </w:p>
        </w:tc>
        <w:tc>
          <w:tcPr>
            <w:tcW w:w="246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w:t>
            </w:r>
          </w:p>
        </w:tc>
        <w:tc>
          <w:tcPr>
            <w:tcW w:w="176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2</w:t>
            </w:r>
          </w:p>
        </w:tc>
        <w:tc>
          <w:tcPr>
            <w:tcW w:w="2074"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5</w:t>
            </w:r>
          </w:p>
        </w:tc>
      </w:tr>
      <w:tr w:rsidR="00576C93" w:rsidTr="004E4D4C">
        <w:tc>
          <w:tcPr>
            <w:tcW w:w="4247"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Primary non-function</w:t>
            </w:r>
          </w:p>
        </w:tc>
        <w:tc>
          <w:tcPr>
            <w:tcW w:w="132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269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3</w:t>
            </w:r>
          </w:p>
        </w:tc>
        <w:tc>
          <w:tcPr>
            <w:tcW w:w="246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2</w:t>
            </w:r>
          </w:p>
        </w:tc>
        <w:tc>
          <w:tcPr>
            <w:tcW w:w="176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w:t>
            </w:r>
          </w:p>
        </w:tc>
        <w:tc>
          <w:tcPr>
            <w:tcW w:w="2074"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6</w:t>
            </w:r>
          </w:p>
        </w:tc>
      </w:tr>
      <w:tr w:rsidR="00576C93" w:rsidTr="004E4D4C">
        <w:tc>
          <w:tcPr>
            <w:tcW w:w="4247"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Acute graft rejection</w:t>
            </w:r>
          </w:p>
        </w:tc>
        <w:tc>
          <w:tcPr>
            <w:tcW w:w="132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269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0</w:t>
            </w:r>
          </w:p>
        </w:tc>
        <w:tc>
          <w:tcPr>
            <w:tcW w:w="246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2</w:t>
            </w:r>
          </w:p>
        </w:tc>
        <w:tc>
          <w:tcPr>
            <w:tcW w:w="176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2</w:t>
            </w:r>
          </w:p>
        </w:tc>
        <w:tc>
          <w:tcPr>
            <w:tcW w:w="2074"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4</w:t>
            </w:r>
          </w:p>
        </w:tc>
      </w:tr>
      <w:tr w:rsidR="00576C93" w:rsidTr="004E4D4C">
        <w:tc>
          <w:tcPr>
            <w:tcW w:w="4247"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Chronic graft rejection</w:t>
            </w:r>
          </w:p>
        </w:tc>
        <w:tc>
          <w:tcPr>
            <w:tcW w:w="132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269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0</w:t>
            </w:r>
          </w:p>
        </w:tc>
        <w:tc>
          <w:tcPr>
            <w:tcW w:w="246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3</w:t>
            </w:r>
          </w:p>
        </w:tc>
        <w:tc>
          <w:tcPr>
            <w:tcW w:w="176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w:t>
            </w:r>
          </w:p>
        </w:tc>
        <w:tc>
          <w:tcPr>
            <w:tcW w:w="2074"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4</w:t>
            </w:r>
          </w:p>
        </w:tc>
      </w:tr>
      <w:tr w:rsidR="00576C93" w:rsidTr="004E4D4C">
        <w:tc>
          <w:tcPr>
            <w:tcW w:w="4247"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Other</w:t>
            </w:r>
          </w:p>
        </w:tc>
        <w:tc>
          <w:tcPr>
            <w:tcW w:w="132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269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4</w:t>
            </w:r>
          </w:p>
        </w:tc>
        <w:tc>
          <w:tcPr>
            <w:tcW w:w="246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w:t>
            </w:r>
          </w:p>
        </w:tc>
        <w:tc>
          <w:tcPr>
            <w:tcW w:w="176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7</w:t>
            </w:r>
          </w:p>
        </w:tc>
        <w:tc>
          <w:tcPr>
            <w:tcW w:w="2074"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12</w:t>
            </w:r>
          </w:p>
        </w:tc>
      </w:tr>
      <w:tr w:rsidR="00576C93" w:rsidTr="004E4D4C">
        <w:tc>
          <w:tcPr>
            <w:tcW w:w="4247" w:type="dxa"/>
          </w:tcPr>
          <w:p w:rsidR="00576C93" w:rsidRDefault="00043012">
            <w:pPr>
              <w:widowControl w:val="0"/>
              <w:spacing w:after="0" w:line="240" w:lineRule="auto"/>
              <w:rPr>
                <w:sz w:val="24"/>
                <w:szCs w:val="24"/>
              </w:rPr>
            </w:pPr>
            <w:r>
              <w:rPr>
                <w:sz w:val="24"/>
                <w:szCs w:val="24"/>
              </w:rPr>
              <w:t>‍</w:t>
            </w:r>
          </w:p>
        </w:tc>
        <w:tc>
          <w:tcPr>
            <w:tcW w:w="1328" w:type="dxa"/>
          </w:tcPr>
          <w:p w:rsidR="00576C93" w:rsidRDefault="00576C93" w:rsidP="004E4D4C">
            <w:pPr>
              <w:widowControl w:val="0"/>
              <w:spacing w:after="0" w:line="240" w:lineRule="auto"/>
              <w:jc w:val="center"/>
              <w:rPr>
                <w:sz w:val="24"/>
                <w:szCs w:val="24"/>
              </w:rPr>
            </w:pPr>
          </w:p>
        </w:tc>
        <w:tc>
          <w:tcPr>
            <w:tcW w:w="2697" w:type="dxa"/>
          </w:tcPr>
          <w:p w:rsidR="00576C93" w:rsidRDefault="00576C93" w:rsidP="004E4D4C">
            <w:pPr>
              <w:widowControl w:val="0"/>
              <w:spacing w:after="0" w:line="240" w:lineRule="auto"/>
              <w:jc w:val="center"/>
              <w:rPr>
                <w:sz w:val="24"/>
                <w:szCs w:val="24"/>
              </w:rPr>
            </w:pPr>
          </w:p>
        </w:tc>
        <w:tc>
          <w:tcPr>
            <w:tcW w:w="2462" w:type="dxa"/>
          </w:tcPr>
          <w:p w:rsidR="00576C93" w:rsidRDefault="00576C93" w:rsidP="004E4D4C">
            <w:pPr>
              <w:widowControl w:val="0"/>
              <w:spacing w:after="0" w:line="240" w:lineRule="auto"/>
              <w:jc w:val="center"/>
              <w:rPr>
                <w:sz w:val="24"/>
                <w:szCs w:val="24"/>
              </w:rPr>
            </w:pPr>
          </w:p>
        </w:tc>
        <w:tc>
          <w:tcPr>
            <w:tcW w:w="1768" w:type="dxa"/>
          </w:tcPr>
          <w:p w:rsidR="00576C93" w:rsidRDefault="00576C93" w:rsidP="004E4D4C">
            <w:pPr>
              <w:widowControl w:val="0"/>
              <w:spacing w:after="0" w:line="240" w:lineRule="auto"/>
              <w:jc w:val="center"/>
              <w:rPr>
                <w:sz w:val="24"/>
                <w:szCs w:val="24"/>
              </w:rPr>
            </w:pPr>
          </w:p>
        </w:tc>
        <w:tc>
          <w:tcPr>
            <w:tcW w:w="2074" w:type="dxa"/>
          </w:tcPr>
          <w:p w:rsidR="00576C93" w:rsidRDefault="00576C93" w:rsidP="004E4D4C">
            <w:pPr>
              <w:widowControl w:val="0"/>
              <w:spacing w:after="0" w:line="240" w:lineRule="auto"/>
              <w:jc w:val="center"/>
              <w:rPr>
                <w:sz w:val="24"/>
                <w:szCs w:val="24"/>
              </w:rPr>
            </w:pPr>
          </w:p>
        </w:tc>
      </w:tr>
      <w:tr w:rsidR="00576C93" w:rsidTr="004E4D4C">
        <w:tc>
          <w:tcPr>
            <w:tcW w:w="4247" w:type="dxa"/>
          </w:tcPr>
          <w:p w:rsidR="00576C93" w:rsidRDefault="00043012">
            <w:pPr>
              <w:widowControl w:val="0"/>
              <w:spacing w:after="0" w:line="240" w:lineRule="auto"/>
              <w:rPr>
                <w:sz w:val="24"/>
                <w:szCs w:val="24"/>
              </w:rPr>
            </w:pPr>
            <w:r w:rsidRPr="004E4D4C">
              <w:rPr>
                <w:rFonts w:ascii="Arial" w:eastAsia="Calibri" w:hAnsi="Arial" w:cs="Arial"/>
                <w:sz w:val="24"/>
                <w:szCs w:val="24"/>
                <w:lang w:val="en-US" w:eastAsia="de-DE"/>
              </w:rPr>
              <w:t>Sum</w:t>
            </w:r>
          </w:p>
        </w:tc>
        <w:tc>
          <w:tcPr>
            <w:tcW w:w="132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N</w:t>
            </w:r>
          </w:p>
        </w:tc>
        <w:tc>
          <w:tcPr>
            <w:tcW w:w="2697"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9</w:t>
            </w:r>
          </w:p>
        </w:tc>
        <w:tc>
          <w:tcPr>
            <w:tcW w:w="2462"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9</w:t>
            </w:r>
          </w:p>
        </w:tc>
        <w:tc>
          <w:tcPr>
            <w:tcW w:w="1768" w:type="dxa"/>
          </w:tcPr>
          <w:p w:rsidR="00576C93" w:rsidRDefault="00043012" w:rsidP="004E4D4C">
            <w:pPr>
              <w:widowControl w:val="0"/>
              <w:spacing w:after="0" w:line="240" w:lineRule="auto"/>
              <w:jc w:val="center"/>
              <w:rPr>
                <w:sz w:val="24"/>
                <w:szCs w:val="24"/>
              </w:rPr>
            </w:pPr>
            <w:r w:rsidRPr="004E4D4C">
              <w:rPr>
                <w:rFonts w:ascii="Arial" w:eastAsia="Calibri" w:hAnsi="Arial" w:cs="Arial"/>
                <w:sz w:val="24"/>
                <w:szCs w:val="24"/>
                <w:lang w:val="en-US" w:eastAsia="de-DE"/>
              </w:rPr>
              <w:t>13</w:t>
            </w:r>
          </w:p>
        </w:tc>
        <w:tc>
          <w:tcPr>
            <w:tcW w:w="2074" w:type="dxa"/>
          </w:tcPr>
          <w:p w:rsidR="00576C93" w:rsidRDefault="00576C93" w:rsidP="004E4D4C">
            <w:pPr>
              <w:widowControl w:val="0"/>
              <w:spacing w:after="0" w:line="240" w:lineRule="auto"/>
              <w:jc w:val="center"/>
              <w:rPr>
                <w:sz w:val="24"/>
                <w:szCs w:val="24"/>
              </w:rPr>
            </w:pPr>
          </w:p>
        </w:tc>
      </w:tr>
    </w:tbl>
    <w:p w:rsidR="00576C93" w:rsidRDefault="00576C93"/>
    <w:p w:rsidR="00576C93" w:rsidRDefault="00043012">
      <w:pPr>
        <w:spacing w:after="0" w:line="240" w:lineRule="auto"/>
        <w:jc w:val="both"/>
        <w:rPr>
          <w:rFonts w:ascii="Arial" w:hAnsi="Arial" w:cs="Arial"/>
          <w:sz w:val="24"/>
          <w:szCs w:val="24"/>
          <w:lang w:val="en-US" w:eastAsia="de-DE"/>
        </w:rPr>
        <w:sectPr w:rsidR="00576C93">
          <w:pgSz w:w="16838" w:h="11906" w:orient="landscape"/>
          <w:pgMar w:top="1134" w:right="1134" w:bottom="1134" w:left="1134" w:header="0" w:footer="0" w:gutter="0"/>
          <w:cols w:space="720"/>
          <w:formProt w:val="0"/>
          <w:docGrid w:linePitch="100"/>
        </w:sectPr>
      </w:pPr>
      <w:r w:rsidRPr="004E4D4C">
        <w:rPr>
          <w:rFonts w:ascii="Arial" w:hAnsi="Arial" w:cs="Arial"/>
          <w:sz w:val="24"/>
          <w:szCs w:val="24"/>
          <w:lang w:val="en-US" w:eastAsia="de-DE"/>
        </w:rPr>
        <w:t>Table S2 depicts the causes for graft loss during Harmony and</w:t>
      </w:r>
      <w:r w:rsidRPr="004E4D4C">
        <w:rPr>
          <w:rFonts w:ascii="Arial" w:hAnsi="Arial" w:cs="Arial"/>
          <w:sz w:val="24"/>
          <w:szCs w:val="24"/>
          <w:lang w:val="en-US" w:eastAsia="de-DE"/>
        </w:rPr>
        <w:t xml:space="preserve"> Harmony FU. "Other" includes censored cases that occurred between the end of the Harmony study and the start of the Harmony Follow Up study, as well as various other causes such as BK virus nephropathy, graft artery thrombosis, surgical complications and </w:t>
      </w:r>
      <w:r w:rsidRPr="004E4D4C">
        <w:rPr>
          <w:rFonts w:ascii="Arial" w:hAnsi="Arial" w:cs="Arial"/>
          <w:sz w:val="24"/>
          <w:szCs w:val="24"/>
          <w:lang w:val="en-US" w:eastAsia="de-DE"/>
        </w:rPr>
        <w:t>more. All graft losses of the centres participating in the Harmony FU study were recorded without exception.</w:t>
      </w:r>
    </w:p>
    <w:p w:rsidR="00576C93" w:rsidRDefault="00576C93">
      <w:pPr>
        <w:spacing w:after="0" w:line="240" w:lineRule="auto"/>
        <w:jc w:val="both"/>
        <w:rPr>
          <w:rFonts w:ascii="Arial" w:hAnsi="Arial" w:cs="Arial"/>
          <w:sz w:val="20"/>
          <w:szCs w:val="20"/>
          <w:lang w:val="en-US" w:eastAsia="de-DE"/>
        </w:rPr>
      </w:pPr>
    </w:p>
    <w:p w:rsidR="00576C93" w:rsidRDefault="00576C93">
      <w:pPr>
        <w:spacing w:after="0" w:line="240" w:lineRule="auto"/>
        <w:jc w:val="both"/>
        <w:rPr>
          <w:rFonts w:ascii="Arial" w:hAnsi="Arial" w:cs="Arial"/>
          <w:b/>
          <w:sz w:val="24"/>
          <w:szCs w:val="24"/>
          <w:lang w:val="en-US" w:eastAsia="de-DE"/>
        </w:rPr>
      </w:pPr>
    </w:p>
    <w:p w:rsidR="00576C93" w:rsidRDefault="00043012">
      <w:pPr>
        <w:spacing w:after="0" w:line="240" w:lineRule="auto"/>
        <w:jc w:val="both"/>
        <w:rPr>
          <w:i/>
          <w:iCs/>
        </w:rPr>
      </w:pPr>
      <w:r>
        <w:rPr>
          <w:rFonts w:ascii="Arial" w:hAnsi="Arial" w:cs="Arial"/>
          <w:b/>
          <w:i/>
          <w:iCs/>
          <w:sz w:val="24"/>
          <w:szCs w:val="24"/>
          <w:lang w:val="en-US" w:eastAsia="de-DE"/>
        </w:rPr>
        <w:t xml:space="preserve">Table S3: </w:t>
      </w:r>
      <w:r>
        <w:rPr>
          <w:rFonts w:ascii="Arial" w:hAnsi="Arial" w:cs="Arial"/>
          <w:b/>
          <w:i/>
          <w:iCs/>
          <w:sz w:val="24"/>
          <w:szCs w:val="24"/>
          <w:lang w:val="en-US" w:eastAsia="de-DE"/>
        </w:rPr>
        <w:t>Comparison of overall survival in study arm A: Basiliximab/Steroids, Arm B: Basiliximab/RSWD and Arm C: rATG/RSWD</w:t>
      </w:r>
      <w:r>
        <w:rPr>
          <w:rFonts w:ascii="Arial" w:hAnsi="Arial" w:cs="Arial"/>
          <w:b/>
          <w:i/>
          <w:iCs/>
          <w:sz w:val="24"/>
          <w:szCs w:val="24"/>
          <w:lang w:val="en-US" w:eastAsia="de-DE"/>
        </w:rPr>
        <w:t xml:space="preserve"> as a function of risk</w:t>
      </w:r>
      <w:r>
        <w:rPr>
          <w:rFonts w:ascii="Arial" w:hAnsi="Arial" w:cs="Arial"/>
          <w:b/>
          <w:i/>
          <w:iCs/>
          <w:sz w:val="24"/>
          <w:szCs w:val="24"/>
          <w:lang w:val="en-US" w:eastAsia="de-DE"/>
        </w:rPr>
        <w:t xml:space="preserve"> factors</w:t>
      </w:r>
    </w:p>
    <w:p w:rsidR="00576C93" w:rsidRDefault="00576C93">
      <w:pPr>
        <w:spacing w:after="0" w:line="240" w:lineRule="auto"/>
        <w:jc w:val="both"/>
        <w:rPr>
          <w:rFonts w:ascii="Arial" w:hAnsi="Arial" w:cs="Arial"/>
          <w:b/>
          <w:sz w:val="24"/>
          <w:szCs w:val="24"/>
          <w:lang w:val="en-US" w:eastAsia="de-DE"/>
        </w:rPr>
      </w:pPr>
    </w:p>
    <w:p w:rsidR="00576C93" w:rsidRDefault="00043012">
      <w:pPr>
        <w:spacing w:after="0" w:line="240" w:lineRule="auto"/>
        <w:jc w:val="both"/>
        <w:rPr>
          <w:rFonts w:ascii="Arial" w:hAnsi="Arial" w:cs="Arial"/>
          <w:b/>
          <w:sz w:val="24"/>
          <w:szCs w:val="24"/>
          <w:lang w:val="en-US" w:eastAsia="de-DE"/>
        </w:rPr>
      </w:pPr>
      <w:r>
        <w:rPr>
          <w:rFonts w:ascii="Arial" w:hAnsi="Arial" w:cs="Arial"/>
          <w:b/>
          <w:sz w:val="24"/>
          <w:szCs w:val="24"/>
          <w:lang w:val="en-US" w:eastAsia="de-DE"/>
        </w:rPr>
        <w:t>Table S3A: Comparison of overall survival in study arms A, B and C as a function of cardio- or cerebrovascular events during  the Harmony FU</w:t>
      </w:r>
    </w:p>
    <w:p w:rsidR="00576C93" w:rsidRDefault="00576C93">
      <w:pPr>
        <w:spacing w:after="0" w:line="240" w:lineRule="auto"/>
        <w:jc w:val="both"/>
        <w:rPr>
          <w:rFonts w:ascii="Arial" w:hAnsi="Arial" w:cs="Arial"/>
          <w:b/>
          <w:sz w:val="24"/>
          <w:szCs w:val="24"/>
          <w:lang w:val="en-US" w:eastAsia="de-DE"/>
        </w:rPr>
      </w:pPr>
    </w:p>
    <w:p w:rsidR="00576C93" w:rsidRDefault="00576C93">
      <w:pPr>
        <w:spacing w:after="0" w:line="240" w:lineRule="auto"/>
        <w:rPr>
          <w:rFonts w:ascii="Arial" w:hAnsi="Arial" w:cs="Arial"/>
          <w:b/>
          <w:bCs/>
          <w:i/>
          <w:iCs/>
          <w:sz w:val="24"/>
          <w:szCs w:val="24"/>
          <w:lang w:val="en-US"/>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0"/>
        <w:gridCol w:w="1041"/>
        <w:gridCol w:w="1040"/>
        <w:gridCol w:w="1039"/>
        <w:gridCol w:w="1040"/>
        <w:gridCol w:w="1041"/>
        <w:gridCol w:w="1040"/>
        <w:gridCol w:w="1039"/>
        <w:gridCol w:w="1041"/>
        <w:gridCol w:w="1040"/>
        <w:gridCol w:w="1039"/>
        <w:gridCol w:w="1040"/>
        <w:gridCol w:w="1041"/>
        <w:gridCol w:w="1039"/>
      </w:tblGrid>
      <w:tr w:rsidR="00576C93" w:rsidTr="004E4D4C">
        <w:trPr>
          <w:trHeight w:val="272"/>
        </w:trPr>
        <w:tc>
          <w:tcPr>
            <w:tcW w:w="2081" w:type="dxa"/>
            <w:gridSpan w:val="2"/>
            <w:vMerge w:val="restart"/>
            <w:shd w:val="clear" w:color="auto" w:fill="D9D9D9"/>
          </w:tcPr>
          <w:p w:rsidR="00576C93" w:rsidRDefault="00576C93">
            <w:pPr>
              <w:widowControl w:val="0"/>
              <w:spacing w:after="0" w:line="240" w:lineRule="auto"/>
              <w:rPr>
                <w:sz w:val="18"/>
                <w:szCs w:val="18"/>
              </w:rPr>
            </w:pP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9359" w:type="dxa"/>
            <w:gridSpan w:val="9"/>
            <w:shd w:val="clear" w:color="auto" w:fill="D9D9D9"/>
          </w:tcPr>
          <w:p w:rsidR="00576C93" w:rsidRDefault="00043012">
            <w:pPr>
              <w:widowControl w:val="0"/>
              <w:spacing w:after="0" w:line="240" w:lineRule="auto"/>
              <w:jc w:val="center"/>
              <w:rPr>
                <w:rFonts w:ascii="Arial" w:hAnsi="Arial" w:cs="Arial"/>
                <w:b/>
                <w:sz w:val="18"/>
                <w:szCs w:val="18"/>
                <w:lang w:val="en-US" w:eastAsia="de-DE"/>
              </w:rPr>
            </w:pPr>
            <w:r>
              <w:rPr>
                <w:rFonts w:ascii="Arial" w:hAnsi="Arial" w:cs="Arial"/>
                <w:b/>
                <w:sz w:val="18"/>
                <w:szCs w:val="18"/>
                <w:lang w:val="en-US" w:eastAsia="de-DE"/>
              </w:rPr>
              <w:t>Planned Treatment Arm</w:t>
            </w:r>
          </w:p>
        </w:tc>
        <w:tc>
          <w:tcPr>
            <w:tcW w:w="3120" w:type="dxa"/>
            <w:gridSpan w:val="3"/>
            <w:shd w:val="clear" w:color="auto" w:fill="D9D9D9"/>
          </w:tcPr>
          <w:p w:rsidR="00576C93" w:rsidRDefault="00576C93">
            <w:pPr>
              <w:widowControl w:val="0"/>
              <w:spacing w:before="114" w:after="114" w:line="240" w:lineRule="auto"/>
              <w:jc w:val="center"/>
              <w:rPr>
                <w:sz w:val="18"/>
                <w:szCs w:val="18"/>
              </w:rPr>
            </w:pPr>
          </w:p>
        </w:tc>
      </w:tr>
      <w:tr w:rsidR="00576C93" w:rsidTr="004E4D4C">
        <w:tc>
          <w:tcPr>
            <w:tcW w:w="2081" w:type="dxa"/>
            <w:gridSpan w:val="2"/>
            <w:vMerge/>
            <w:shd w:val="clear" w:color="auto" w:fill="D9D9D9"/>
          </w:tcPr>
          <w:p w:rsidR="00576C93" w:rsidRDefault="00576C93">
            <w:pPr>
              <w:widowControl w:val="0"/>
              <w:spacing w:after="0" w:line="240" w:lineRule="auto"/>
              <w:rPr>
                <w:rFonts w:ascii="Arial" w:eastAsia="Calibri" w:hAnsi="Arial" w:cs="Arial"/>
                <w:b/>
                <w:sz w:val="18"/>
                <w:szCs w:val="18"/>
                <w:lang w:val="en-US" w:eastAsia="de-DE"/>
              </w:rPr>
            </w:pPr>
          </w:p>
        </w:tc>
        <w:tc>
          <w:tcPr>
            <w:tcW w:w="12479" w:type="dxa"/>
            <w:gridSpan w:val="12"/>
            <w:shd w:val="clear" w:color="auto" w:fill="D9D9D9"/>
          </w:tcPr>
          <w:p w:rsidR="00576C93" w:rsidRDefault="00043012">
            <w:pPr>
              <w:widowControl w:val="0"/>
              <w:spacing w:after="0" w:line="240" w:lineRule="auto"/>
              <w:jc w:val="center"/>
              <w:rPr>
                <w:rFonts w:ascii="Arial" w:eastAsia="Calibri" w:hAnsi="Arial" w:cs="Arial"/>
                <w:b/>
                <w:sz w:val="18"/>
                <w:szCs w:val="18"/>
                <w:lang w:val="en-US" w:eastAsia="de-DE"/>
              </w:rPr>
            </w:pPr>
            <w:r>
              <w:rPr>
                <w:rFonts w:ascii="Arial" w:eastAsia="Calibri" w:hAnsi="Arial" w:cs="Arial"/>
                <w:b/>
                <w:sz w:val="18"/>
                <w:szCs w:val="18"/>
                <w:lang w:val="en-US" w:eastAsia="de-DE"/>
              </w:rPr>
              <w:t>Any cardio- or cerebrovascular disease reported</w:t>
            </w:r>
            <w:r>
              <w:rPr>
                <w:rFonts w:ascii="Arial" w:eastAsia="Calibri" w:hAnsi="Arial" w:cs="Arial"/>
                <w:b/>
                <w:sz w:val="18"/>
                <w:szCs w:val="18"/>
                <w:lang w:val="en-US" w:eastAsia="de-DE"/>
              </w:rPr>
              <w:t xml:space="preserve"> during Harmony FU</w:t>
            </w:r>
          </w:p>
        </w:tc>
      </w:tr>
      <w:tr w:rsidR="00576C93" w:rsidTr="004E4D4C">
        <w:tc>
          <w:tcPr>
            <w:tcW w:w="2081" w:type="dxa"/>
            <w:gridSpan w:val="2"/>
            <w:vMerge/>
            <w:shd w:val="clear" w:color="auto" w:fill="D9D9D9"/>
          </w:tcPr>
          <w:p w:rsidR="00576C93" w:rsidRDefault="00576C93">
            <w:pPr>
              <w:widowControl w:val="0"/>
              <w:spacing w:after="0" w:line="240" w:lineRule="auto"/>
              <w:rPr>
                <w:rFonts w:ascii="Arial" w:eastAsia="Calibri" w:hAnsi="Arial" w:cs="Arial"/>
                <w:b/>
                <w:sz w:val="18"/>
                <w:szCs w:val="18"/>
                <w:lang w:val="en-US" w:eastAsia="de-DE"/>
              </w:rPr>
            </w:pPr>
          </w:p>
        </w:tc>
        <w:tc>
          <w:tcPr>
            <w:tcW w:w="3119" w:type="dxa"/>
            <w:gridSpan w:val="3"/>
            <w:shd w:val="clear" w:color="auto" w:fill="D9D9D9"/>
          </w:tcPr>
          <w:p w:rsidR="00576C93" w:rsidRDefault="00043012">
            <w:pPr>
              <w:widowControl w:val="0"/>
              <w:spacing w:after="0" w:line="240" w:lineRule="auto"/>
              <w:rPr>
                <w:sz w:val="18"/>
                <w:szCs w:val="18"/>
              </w:rPr>
            </w:pPr>
            <w:r>
              <w:rPr>
                <w:rFonts w:ascii="Arial" w:eastAsia="Calibri" w:hAnsi="Arial" w:cs="Arial"/>
                <w:b/>
                <w:sz w:val="18"/>
                <w:szCs w:val="18"/>
                <w:lang w:val="en-US" w:eastAsia="de-DE"/>
              </w:rPr>
              <w:t>Arm</w:t>
            </w:r>
            <w:r>
              <w:rPr>
                <w:rFonts w:ascii="Arial" w:eastAsia="Calibri" w:hAnsi="Arial" w:cs="Arial"/>
                <w:b/>
                <w:sz w:val="18"/>
                <w:szCs w:val="18"/>
                <w:lang w:val="en-US" w:eastAsia="de-DE"/>
              </w:rPr>
              <w:t xml:space="preserve"> A:</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Basiliximab/ Steroids</w:t>
            </w:r>
          </w:p>
        </w:tc>
        <w:tc>
          <w:tcPr>
            <w:tcW w:w="3120" w:type="dxa"/>
            <w:gridSpan w:val="3"/>
            <w:shd w:val="clear" w:color="auto" w:fill="D9D9D9"/>
          </w:tcPr>
          <w:p w:rsidR="00576C93" w:rsidRDefault="00043012">
            <w:pPr>
              <w:widowControl w:val="0"/>
              <w:spacing w:after="0" w:line="240" w:lineRule="auto"/>
              <w:rPr>
                <w:sz w:val="18"/>
                <w:szCs w:val="18"/>
              </w:rPr>
            </w:pPr>
            <w:r>
              <w:rPr>
                <w:rFonts w:ascii="Arial" w:eastAsia="Calibri" w:hAnsi="Arial" w:cs="Arial"/>
                <w:b/>
                <w:sz w:val="18"/>
                <w:szCs w:val="18"/>
                <w:lang w:val="en-US" w:eastAsia="de-DE"/>
              </w:rPr>
              <w:t>Arm B:</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Basiliximab/RSWD</w:t>
            </w:r>
          </w:p>
        </w:tc>
        <w:tc>
          <w:tcPr>
            <w:tcW w:w="3120" w:type="dxa"/>
            <w:gridSpan w:val="3"/>
            <w:shd w:val="clear" w:color="auto" w:fill="D9D9D9"/>
          </w:tcPr>
          <w:p w:rsidR="00576C93" w:rsidRDefault="00043012">
            <w:pPr>
              <w:widowControl w:val="0"/>
              <w:spacing w:after="0" w:line="240" w:lineRule="auto"/>
              <w:rPr>
                <w:sz w:val="18"/>
                <w:szCs w:val="18"/>
              </w:rPr>
            </w:pPr>
            <w:r>
              <w:rPr>
                <w:rFonts w:ascii="Arial" w:eastAsia="Calibri" w:hAnsi="Arial" w:cs="Arial"/>
                <w:b/>
                <w:sz w:val="18"/>
                <w:szCs w:val="18"/>
                <w:lang w:val="en-US" w:eastAsia="de-DE"/>
              </w:rPr>
              <w:t>Arm C:</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rATG/ RSWD</w:t>
            </w:r>
          </w:p>
        </w:tc>
        <w:tc>
          <w:tcPr>
            <w:tcW w:w="3120" w:type="dxa"/>
            <w:gridSpan w:val="3"/>
            <w:shd w:val="clear" w:color="auto" w:fill="D9D9D9"/>
          </w:tcPr>
          <w:p w:rsidR="00576C93" w:rsidRDefault="00043012">
            <w:pPr>
              <w:widowControl w:val="0"/>
              <w:spacing w:after="0" w:line="240" w:lineRule="auto"/>
              <w:jc w:val="center"/>
              <w:rPr>
                <w:rFonts w:ascii="Arial" w:eastAsia="Calibri" w:hAnsi="Arial" w:cs="Arial"/>
                <w:b/>
                <w:sz w:val="18"/>
                <w:szCs w:val="18"/>
                <w:lang w:val="en-US" w:eastAsia="de-DE"/>
              </w:rPr>
            </w:pPr>
            <w:r>
              <w:rPr>
                <w:rFonts w:ascii="Arial" w:eastAsia="Calibri" w:hAnsi="Arial" w:cs="Arial"/>
                <w:b/>
                <w:sz w:val="18"/>
                <w:szCs w:val="18"/>
                <w:lang w:val="en-US" w:eastAsia="de-DE"/>
              </w:rPr>
              <w:t>All</w:t>
            </w:r>
          </w:p>
        </w:tc>
      </w:tr>
      <w:tr w:rsidR="00576C93" w:rsidTr="004E4D4C">
        <w:tc>
          <w:tcPr>
            <w:tcW w:w="2081" w:type="dxa"/>
            <w:gridSpan w:val="2"/>
            <w:vMerge/>
            <w:shd w:val="clear" w:color="auto" w:fill="D9D9D9"/>
          </w:tcPr>
          <w:p w:rsidR="00576C93" w:rsidRDefault="00576C93">
            <w:pPr>
              <w:widowControl w:val="0"/>
              <w:spacing w:after="0" w:line="240" w:lineRule="auto"/>
              <w:rPr>
                <w:rFonts w:ascii="Arial" w:eastAsia="Calibri" w:hAnsi="Arial" w:cs="Arial"/>
                <w:b/>
                <w:sz w:val="18"/>
                <w:szCs w:val="18"/>
                <w:lang w:val="en-US" w:eastAsia="de-DE"/>
              </w:rPr>
            </w:pP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c>
          <w:tcPr>
            <w:tcW w:w="1041"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c>
          <w:tcPr>
            <w:tcW w:w="1041"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41"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r>
      <w:tr w:rsidR="004E4D4C" w:rsidTr="004E4D4C">
        <w:trPr>
          <w:trHeight w:val="631"/>
        </w:trPr>
        <w:tc>
          <w:tcPr>
            <w:tcW w:w="1040" w:type="dxa"/>
          </w:tcPr>
          <w:p w:rsidR="004E4D4C" w:rsidRDefault="004E4D4C">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Overall survival</w:t>
            </w: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r>
      <w:tr w:rsidR="00576C93" w:rsidTr="004E4D4C">
        <w:tc>
          <w:tcPr>
            <w:tcW w:w="1040" w:type="dxa"/>
            <w:vMerge w:val="restart"/>
          </w:tcPr>
          <w:p w:rsidR="00576C93" w:rsidRDefault="00043012">
            <w:pPr>
              <w:widowControl w:val="0"/>
              <w:spacing w:before="114" w:after="114" w:line="360" w:lineRule="auto"/>
              <w:rPr>
                <w:rFonts w:ascii="Arial" w:eastAsia="Calibri" w:hAnsi="Arial" w:cs="Arial"/>
                <w:sz w:val="18"/>
                <w:szCs w:val="18"/>
                <w:lang w:val="en-US" w:eastAsia="de-DE"/>
              </w:rPr>
            </w:pPr>
            <w:r>
              <w:rPr>
                <w:rFonts w:ascii="Arial" w:eastAsia="Calibri" w:hAnsi="Arial" w:cs="Arial"/>
                <w:sz w:val="18"/>
                <w:szCs w:val="18"/>
                <w:lang w:val="en-US" w:eastAsia="de-DE"/>
              </w:rPr>
              <w:t>E</w:t>
            </w:r>
            <w:r>
              <w:rPr>
                <w:rFonts w:ascii="Arial" w:eastAsia="Calibri" w:hAnsi="Arial" w:cs="Arial"/>
                <w:sz w:val="18"/>
                <w:szCs w:val="18"/>
                <w:lang w:val="en-US" w:eastAsia="de-DE"/>
              </w:rPr>
              <w:t>vent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22</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13</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13</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48</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w:t>
            </w:r>
          </w:p>
        </w:tc>
      </w:tr>
      <w:tr w:rsidR="00576C93" w:rsidTr="004E4D4C">
        <w:tc>
          <w:tcPr>
            <w:tcW w:w="1040" w:type="dxa"/>
            <w:vMerge/>
          </w:tcPr>
          <w:p w:rsidR="00576C93" w:rsidRDefault="00576C93">
            <w:pPr>
              <w:widowControl w:val="0"/>
              <w:spacing w:after="0" w:line="360" w:lineRule="auto"/>
              <w:rPr>
                <w:rFonts w:ascii="Arial" w:eastAsia="Calibri"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ColPctN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22.68</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1.02</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18.18</w:t>
            </w:r>
            <w:r>
              <w:rPr>
                <w:rFonts w:ascii="Arial" w:eastAsia="Calibri" w:hAnsi="Arial" w:cs="Arial"/>
                <w:sz w:val="18"/>
                <w:szCs w:val="18"/>
                <w:lang w:val="en-US" w:eastAsia="de-DE"/>
              </w:rPr>
              <w:t xml:space="preserve">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14.13</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13.54</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1.12</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16.84</w:t>
            </w:r>
            <w:r>
              <w:rPr>
                <w:rFonts w:ascii="Arial" w:eastAsia="Calibri" w:hAnsi="Arial" w:cs="Arial"/>
                <w:sz w:val="18"/>
                <w:szCs w:val="18"/>
                <w:lang w:val="en-US" w:eastAsia="de-DE"/>
              </w:rPr>
              <w:t xml:space="preserve">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0.74</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6.25</w:t>
            </w:r>
            <w:r>
              <w:rPr>
                <w:rFonts w:ascii="Arial" w:eastAsia="Calibri" w:hAnsi="Arial" w:cs="Arial"/>
                <w:sz w:val="18"/>
                <w:szCs w:val="18"/>
                <w:lang w:val="en-US" w:eastAsia="de-DE"/>
              </w:rPr>
              <w:t xml:space="preserve"> %</w:t>
            </w:r>
          </w:p>
        </w:tc>
      </w:tr>
      <w:tr w:rsidR="00576C93" w:rsidTr="004E4D4C">
        <w:tc>
          <w:tcPr>
            <w:tcW w:w="1040" w:type="dxa"/>
            <w:vMerge w:val="restart"/>
          </w:tcPr>
          <w:p w:rsidR="00576C93" w:rsidRDefault="00043012">
            <w:pPr>
              <w:widowControl w:val="0"/>
              <w:spacing w:before="57" w:after="57" w:line="360" w:lineRule="auto"/>
              <w:rPr>
                <w:rFonts w:ascii="Arial" w:eastAsia="Calibri" w:hAnsi="Arial" w:cs="Arial"/>
                <w:sz w:val="18"/>
                <w:szCs w:val="18"/>
                <w:lang w:val="en-US" w:eastAsia="de-DE"/>
              </w:rPr>
            </w:pPr>
            <w:r>
              <w:rPr>
                <w:rFonts w:ascii="Arial" w:eastAsia="Calibri" w:hAnsi="Arial" w:cs="Arial"/>
                <w:sz w:val="18"/>
                <w:szCs w:val="18"/>
                <w:lang w:val="en-US" w:eastAsia="de-DE"/>
              </w:rPr>
              <w:t>C</w:t>
            </w:r>
            <w:r>
              <w:rPr>
                <w:rFonts w:ascii="Arial" w:eastAsia="Calibri" w:hAnsi="Arial" w:cs="Arial"/>
                <w:sz w:val="18"/>
                <w:szCs w:val="18"/>
                <w:lang w:val="en-US" w:eastAsia="de-DE"/>
              </w:rPr>
              <w:t>ensored</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75</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97</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79</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83</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14</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83</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88</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7</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237</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268</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30</w:t>
            </w:r>
          </w:p>
        </w:tc>
      </w:tr>
      <w:tr w:rsidR="00576C93" w:rsidTr="004E4D4C">
        <w:tc>
          <w:tcPr>
            <w:tcW w:w="1040" w:type="dxa"/>
            <w:vMerge/>
          </w:tcPr>
          <w:p w:rsidR="00576C93" w:rsidRDefault="00576C93">
            <w:pPr>
              <w:widowControl w:val="0"/>
              <w:spacing w:after="0" w:line="360" w:lineRule="auto"/>
              <w:rPr>
                <w:sz w:val="18"/>
                <w:szCs w:val="18"/>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ColPctN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77.32</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98.98</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81.82</w:t>
            </w:r>
            <w:r>
              <w:rPr>
                <w:rFonts w:ascii="Arial" w:eastAsia="Calibri" w:hAnsi="Arial" w:cs="Arial"/>
                <w:sz w:val="18"/>
                <w:szCs w:val="18"/>
                <w:lang w:val="en-US" w:eastAsia="de-DE"/>
              </w:rPr>
              <w:t xml:space="preserve">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85.87</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86.46</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98.88</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83.16</w:t>
            </w:r>
            <w:r>
              <w:rPr>
                <w:rFonts w:ascii="Arial" w:eastAsia="Calibri" w:hAnsi="Arial" w:cs="Arial"/>
                <w:sz w:val="18"/>
                <w:szCs w:val="18"/>
                <w:lang w:val="en-US" w:eastAsia="de-DE"/>
              </w:rPr>
              <w:t xml:space="preserve">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99.26</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93.75</w:t>
            </w:r>
            <w:r>
              <w:rPr>
                <w:rFonts w:ascii="Arial" w:eastAsia="Calibri" w:hAnsi="Arial" w:cs="Arial"/>
                <w:sz w:val="18"/>
                <w:szCs w:val="18"/>
                <w:lang w:val="en-US" w:eastAsia="de-DE"/>
              </w:rPr>
              <w:t xml:space="preserve"> %</w:t>
            </w:r>
          </w:p>
        </w:tc>
      </w:tr>
      <w:tr w:rsidR="00576C93" w:rsidTr="004E4D4C">
        <w:tc>
          <w:tcPr>
            <w:tcW w:w="1040" w:type="dxa"/>
            <w:vMerge w:val="restart"/>
          </w:tcPr>
          <w:p w:rsidR="00576C93" w:rsidRDefault="00043012">
            <w:pPr>
              <w:widowControl w:val="0"/>
              <w:spacing w:before="57" w:after="57" w:line="360" w:lineRule="auto"/>
              <w:rPr>
                <w:rFonts w:ascii="Arial" w:eastAsia="Calibri" w:hAnsi="Arial" w:cs="Arial"/>
                <w:lang w:val="en-US" w:eastAsia="de-DE"/>
              </w:rPr>
            </w:pPr>
            <w:r>
              <w:rPr>
                <w:rFonts w:ascii="Arial" w:eastAsia="Calibri" w:hAnsi="Arial" w:cs="Arial"/>
                <w:sz w:val="18"/>
                <w:szCs w:val="18"/>
                <w:lang w:val="en-US" w:eastAsia="de-DE"/>
              </w:rPr>
              <w:t>Al</w:t>
            </w:r>
            <w:r>
              <w:rPr>
                <w:rFonts w:ascii="Arial" w:eastAsia="Calibri" w:hAnsi="Arial" w:cs="Arial"/>
                <w:sz w:val="18"/>
                <w:szCs w:val="18"/>
                <w:lang w:val="en-US" w:eastAsia="de-DE"/>
              </w:rPr>
              <w:t>l</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97</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98</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11</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92</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83</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14</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96</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89</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7</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285</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270</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32</w:t>
            </w:r>
          </w:p>
        </w:tc>
      </w:tr>
      <w:tr w:rsidR="00576C93" w:rsidTr="004E4D4C">
        <w:tc>
          <w:tcPr>
            <w:tcW w:w="1040" w:type="dxa"/>
            <w:vMerge/>
          </w:tcPr>
          <w:p w:rsidR="00576C93" w:rsidRDefault="00576C93">
            <w:pPr>
              <w:widowControl w:val="0"/>
              <w:spacing w:after="0" w:line="360" w:lineRule="auto"/>
              <w:rPr>
                <w:rFonts w:ascii="Arial"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ColPctN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w:t>
            </w:r>
            <w:r>
              <w:rPr>
                <w:rFonts w:ascii="Arial" w:eastAsia="Calibri" w:hAnsi="Arial" w:cs="Arial"/>
                <w:sz w:val="18"/>
                <w:szCs w:val="18"/>
                <w:lang w:val="en-US" w:eastAsia="de-DE"/>
              </w:rPr>
              <w:t>00.00</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r>
    </w:tbl>
    <w:p w:rsidR="00576C93" w:rsidRDefault="00576C93">
      <w:pPr>
        <w:spacing w:after="0" w:line="240" w:lineRule="auto"/>
        <w:jc w:val="both"/>
        <w:rPr>
          <w:lang w:val="en-US"/>
        </w:rPr>
      </w:pPr>
    </w:p>
    <w:p w:rsidR="00576C93" w:rsidRDefault="00043012">
      <w:pPr>
        <w:spacing w:after="0" w:line="240" w:lineRule="auto"/>
        <w:jc w:val="both"/>
        <w:rPr>
          <w:rFonts w:ascii="Arial" w:eastAsia="Calibri" w:hAnsi="Arial" w:cs="Arial"/>
          <w:sz w:val="20"/>
          <w:szCs w:val="20"/>
          <w:lang w:val="en-US" w:eastAsia="de-DE"/>
        </w:rPr>
      </w:pPr>
      <w:r>
        <w:br w:type="page"/>
      </w:r>
    </w:p>
    <w:p w:rsidR="00576C93" w:rsidRDefault="00043012">
      <w:pPr>
        <w:spacing w:after="0" w:line="240" w:lineRule="auto"/>
        <w:jc w:val="both"/>
        <w:rPr>
          <w:rFonts w:ascii="Arial" w:hAnsi="Arial" w:cs="Arial"/>
          <w:b/>
          <w:sz w:val="24"/>
          <w:szCs w:val="24"/>
          <w:lang w:val="en-US" w:eastAsia="de-DE"/>
        </w:rPr>
      </w:pPr>
      <w:r>
        <w:rPr>
          <w:rFonts w:ascii="Arial" w:hAnsi="Arial" w:cs="Arial"/>
          <w:b/>
          <w:sz w:val="24"/>
          <w:szCs w:val="24"/>
          <w:lang w:val="en-US" w:eastAsia="de-DE"/>
        </w:rPr>
        <w:lastRenderedPageBreak/>
        <w:t>Table S3B: Comparison of overall survival in study arms A, B and C as a function of new onset post-transplant diabetes mellitus (PTDM) in the Harmony FU cohort</w:t>
      </w:r>
    </w:p>
    <w:p w:rsidR="00576C93" w:rsidRDefault="00576C93">
      <w:pPr>
        <w:spacing w:after="0" w:line="240" w:lineRule="auto"/>
        <w:jc w:val="both"/>
        <w:rPr>
          <w:rFonts w:ascii="Arial" w:hAnsi="Arial" w:cs="Arial"/>
          <w:b/>
          <w:sz w:val="24"/>
          <w:szCs w:val="24"/>
          <w:lang w:val="en-US" w:eastAsia="de-DE"/>
        </w:rPr>
      </w:pPr>
    </w:p>
    <w:p w:rsidR="00576C93" w:rsidRDefault="00576C93">
      <w:pPr>
        <w:spacing w:after="0" w:line="240" w:lineRule="auto"/>
        <w:rPr>
          <w:rFonts w:ascii="Arial" w:hAnsi="Arial" w:cs="Arial"/>
          <w:b/>
          <w:bCs/>
          <w:i/>
          <w:iCs/>
          <w:sz w:val="24"/>
          <w:szCs w:val="24"/>
          <w:lang w:val="en-US"/>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0"/>
        <w:gridCol w:w="1041"/>
        <w:gridCol w:w="1040"/>
        <w:gridCol w:w="1039"/>
        <w:gridCol w:w="1040"/>
        <w:gridCol w:w="1041"/>
        <w:gridCol w:w="1040"/>
        <w:gridCol w:w="1039"/>
        <w:gridCol w:w="1041"/>
        <w:gridCol w:w="1040"/>
        <w:gridCol w:w="1039"/>
        <w:gridCol w:w="1040"/>
        <w:gridCol w:w="1041"/>
        <w:gridCol w:w="1039"/>
      </w:tblGrid>
      <w:tr w:rsidR="00576C93" w:rsidTr="004E4D4C">
        <w:trPr>
          <w:trHeight w:val="272"/>
        </w:trPr>
        <w:tc>
          <w:tcPr>
            <w:tcW w:w="2081" w:type="dxa"/>
            <w:gridSpan w:val="2"/>
            <w:vMerge w:val="restart"/>
            <w:shd w:val="clear" w:color="auto" w:fill="D9D9D9"/>
          </w:tcPr>
          <w:p w:rsidR="00576C93" w:rsidRDefault="00576C93">
            <w:pPr>
              <w:widowControl w:val="0"/>
              <w:spacing w:after="0" w:line="240" w:lineRule="auto"/>
              <w:rPr>
                <w:sz w:val="18"/>
                <w:szCs w:val="18"/>
              </w:rPr>
            </w:pP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9359" w:type="dxa"/>
            <w:gridSpan w:val="9"/>
            <w:shd w:val="clear" w:color="auto" w:fill="D9D9D9"/>
          </w:tcPr>
          <w:p w:rsidR="00576C93" w:rsidRDefault="00043012">
            <w:pPr>
              <w:widowControl w:val="0"/>
              <w:spacing w:after="0" w:line="240" w:lineRule="auto"/>
              <w:jc w:val="center"/>
              <w:rPr>
                <w:rFonts w:ascii="Arial" w:hAnsi="Arial" w:cs="Arial"/>
                <w:b/>
                <w:sz w:val="18"/>
                <w:szCs w:val="18"/>
                <w:lang w:val="en-US" w:eastAsia="de-DE"/>
              </w:rPr>
            </w:pPr>
            <w:r>
              <w:rPr>
                <w:rFonts w:ascii="Arial" w:hAnsi="Arial" w:cs="Arial"/>
                <w:b/>
                <w:sz w:val="18"/>
                <w:szCs w:val="18"/>
                <w:lang w:val="en-US" w:eastAsia="de-DE"/>
              </w:rPr>
              <w:t>Planned Treatment Arm</w:t>
            </w:r>
          </w:p>
        </w:tc>
        <w:tc>
          <w:tcPr>
            <w:tcW w:w="3120" w:type="dxa"/>
            <w:gridSpan w:val="3"/>
            <w:shd w:val="clear" w:color="auto" w:fill="D9D9D9"/>
          </w:tcPr>
          <w:p w:rsidR="00576C93" w:rsidRDefault="00576C93">
            <w:pPr>
              <w:widowControl w:val="0"/>
              <w:spacing w:before="114" w:after="114" w:line="240" w:lineRule="auto"/>
              <w:jc w:val="center"/>
              <w:rPr>
                <w:sz w:val="18"/>
                <w:szCs w:val="18"/>
              </w:rPr>
            </w:pPr>
          </w:p>
        </w:tc>
      </w:tr>
      <w:tr w:rsidR="00576C93" w:rsidTr="004E4D4C">
        <w:tc>
          <w:tcPr>
            <w:tcW w:w="2081" w:type="dxa"/>
            <w:gridSpan w:val="2"/>
            <w:vMerge/>
            <w:shd w:val="clear" w:color="auto" w:fill="D9D9D9"/>
          </w:tcPr>
          <w:p w:rsidR="00576C93" w:rsidRDefault="00576C93">
            <w:pPr>
              <w:widowControl w:val="0"/>
              <w:spacing w:after="0" w:line="240" w:lineRule="auto"/>
              <w:rPr>
                <w:rFonts w:ascii="Arial" w:eastAsia="Calibri" w:hAnsi="Arial" w:cs="Arial"/>
                <w:b/>
                <w:sz w:val="18"/>
                <w:szCs w:val="18"/>
                <w:lang w:val="en-US" w:eastAsia="de-DE"/>
              </w:rPr>
            </w:pPr>
          </w:p>
        </w:tc>
        <w:tc>
          <w:tcPr>
            <w:tcW w:w="12479" w:type="dxa"/>
            <w:gridSpan w:val="12"/>
            <w:shd w:val="clear" w:color="auto" w:fill="D9D9D9"/>
          </w:tcPr>
          <w:p w:rsidR="00576C93" w:rsidRDefault="00043012">
            <w:pPr>
              <w:widowControl w:val="0"/>
              <w:spacing w:after="0" w:line="240" w:lineRule="auto"/>
              <w:jc w:val="center"/>
              <w:rPr>
                <w:rFonts w:ascii="Arial" w:eastAsia="Calibri" w:hAnsi="Arial" w:cs="Arial"/>
                <w:b/>
                <w:sz w:val="18"/>
                <w:szCs w:val="18"/>
                <w:lang w:val="en-US" w:eastAsia="de-DE"/>
              </w:rPr>
            </w:pPr>
            <w:r>
              <w:rPr>
                <w:rFonts w:ascii="Arial" w:eastAsia="Calibri" w:hAnsi="Arial" w:cs="Arial"/>
                <w:b/>
                <w:sz w:val="18"/>
                <w:szCs w:val="18"/>
                <w:lang w:val="en-US" w:eastAsia="de-DE"/>
              </w:rPr>
              <w:t>Any diabetes criteria reported during Harmony FU</w:t>
            </w:r>
          </w:p>
        </w:tc>
      </w:tr>
      <w:tr w:rsidR="00576C93" w:rsidTr="004E4D4C">
        <w:tc>
          <w:tcPr>
            <w:tcW w:w="2081" w:type="dxa"/>
            <w:gridSpan w:val="2"/>
            <w:vMerge/>
            <w:shd w:val="clear" w:color="auto" w:fill="D9D9D9"/>
          </w:tcPr>
          <w:p w:rsidR="00576C93" w:rsidRDefault="00576C93">
            <w:pPr>
              <w:widowControl w:val="0"/>
              <w:spacing w:after="0" w:line="240" w:lineRule="auto"/>
              <w:rPr>
                <w:rFonts w:ascii="Arial" w:eastAsia="Calibri" w:hAnsi="Arial" w:cs="Arial"/>
                <w:b/>
                <w:sz w:val="18"/>
                <w:szCs w:val="18"/>
                <w:lang w:val="en-US" w:eastAsia="de-DE"/>
              </w:rPr>
            </w:pPr>
          </w:p>
        </w:tc>
        <w:tc>
          <w:tcPr>
            <w:tcW w:w="3119" w:type="dxa"/>
            <w:gridSpan w:val="3"/>
            <w:shd w:val="clear" w:color="auto" w:fill="D9D9D9"/>
          </w:tcPr>
          <w:p w:rsidR="00576C93" w:rsidRDefault="00043012">
            <w:pPr>
              <w:widowControl w:val="0"/>
              <w:spacing w:after="0" w:line="240" w:lineRule="auto"/>
              <w:rPr>
                <w:sz w:val="18"/>
                <w:szCs w:val="18"/>
              </w:rPr>
            </w:pPr>
            <w:r>
              <w:rPr>
                <w:rFonts w:ascii="Arial" w:eastAsia="Calibri" w:hAnsi="Arial" w:cs="Arial"/>
                <w:b/>
                <w:sz w:val="18"/>
                <w:szCs w:val="18"/>
                <w:lang w:val="en-US" w:eastAsia="de-DE"/>
              </w:rPr>
              <w:t>Arm A:</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Basiliximab/ Steroids</w:t>
            </w:r>
          </w:p>
        </w:tc>
        <w:tc>
          <w:tcPr>
            <w:tcW w:w="3120" w:type="dxa"/>
            <w:gridSpan w:val="3"/>
            <w:shd w:val="clear" w:color="auto" w:fill="D9D9D9"/>
          </w:tcPr>
          <w:p w:rsidR="00576C93" w:rsidRDefault="00043012">
            <w:pPr>
              <w:widowControl w:val="0"/>
              <w:spacing w:after="0" w:line="240" w:lineRule="auto"/>
              <w:rPr>
                <w:sz w:val="18"/>
                <w:szCs w:val="18"/>
              </w:rPr>
            </w:pPr>
            <w:r>
              <w:rPr>
                <w:rFonts w:ascii="Arial" w:eastAsia="Calibri" w:hAnsi="Arial" w:cs="Arial"/>
                <w:b/>
                <w:sz w:val="18"/>
                <w:szCs w:val="18"/>
                <w:lang w:val="en-US" w:eastAsia="de-DE"/>
              </w:rPr>
              <w:t>Arm B:</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Basiliximab/RSWD</w:t>
            </w:r>
          </w:p>
        </w:tc>
        <w:tc>
          <w:tcPr>
            <w:tcW w:w="3120" w:type="dxa"/>
            <w:gridSpan w:val="3"/>
            <w:shd w:val="clear" w:color="auto" w:fill="D9D9D9"/>
          </w:tcPr>
          <w:p w:rsidR="00576C93" w:rsidRDefault="00043012">
            <w:pPr>
              <w:widowControl w:val="0"/>
              <w:spacing w:after="0" w:line="240" w:lineRule="auto"/>
              <w:rPr>
                <w:sz w:val="18"/>
                <w:szCs w:val="18"/>
              </w:rPr>
            </w:pPr>
            <w:r>
              <w:rPr>
                <w:rFonts w:ascii="Arial" w:eastAsia="Calibri" w:hAnsi="Arial" w:cs="Arial"/>
                <w:b/>
                <w:sz w:val="18"/>
                <w:szCs w:val="18"/>
                <w:lang w:val="en-US" w:eastAsia="de-DE"/>
              </w:rPr>
              <w:t>Arm C:</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rATG/ RSWD</w:t>
            </w:r>
          </w:p>
        </w:tc>
        <w:tc>
          <w:tcPr>
            <w:tcW w:w="3120" w:type="dxa"/>
            <w:gridSpan w:val="3"/>
            <w:shd w:val="clear" w:color="auto" w:fill="D9D9D9"/>
          </w:tcPr>
          <w:p w:rsidR="00576C93" w:rsidRDefault="00043012">
            <w:pPr>
              <w:widowControl w:val="0"/>
              <w:spacing w:after="0" w:line="240" w:lineRule="auto"/>
              <w:jc w:val="center"/>
              <w:rPr>
                <w:rFonts w:ascii="Arial" w:eastAsia="Calibri" w:hAnsi="Arial" w:cs="Arial"/>
                <w:b/>
                <w:sz w:val="18"/>
                <w:szCs w:val="18"/>
                <w:lang w:val="en-US" w:eastAsia="de-DE"/>
              </w:rPr>
            </w:pPr>
            <w:r>
              <w:rPr>
                <w:rFonts w:ascii="Arial" w:eastAsia="Calibri" w:hAnsi="Arial" w:cs="Arial"/>
                <w:b/>
                <w:sz w:val="18"/>
                <w:szCs w:val="18"/>
                <w:lang w:val="en-US" w:eastAsia="de-DE"/>
              </w:rPr>
              <w:t>All</w:t>
            </w:r>
          </w:p>
        </w:tc>
      </w:tr>
      <w:tr w:rsidR="00576C93" w:rsidTr="004E4D4C">
        <w:tc>
          <w:tcPr>
            <w:tcW w:w="2081" w:type="dxa"/>
            <w:gridSpan w:val="2"/>
            <w:vMerge/>
            <w:shd w:val="clear" w:color="auto" w:fill="D9D9D9"/>
          </w:tcPr>
          <w:p w:rsidR="00576C93" w:rsidRDefault="00576C93">
            <w:pPr>
              <w:widowControl w:val="0"/>
              <w:spacing w:after="0" w:line="240" w:lineRule="auto"/>
              <w:rPr>
                <w:rFonts w:ascii="Arial" w:eastAsia="Calibri" w:hAnsi="Arial" w:cs="Arial"/>
                <w:b/>
                <w:sz w:val="18"/>
                <w:szCs w:val="18"/>
                <w:lang w:val="en-US" w:eastAsia="de-DE"/>
              </w:rPr>
            </w:pP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c>
          <w:tcPr>
            <w:tcW w:w="1041"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c>
          <w:tcPr>
            <w:tcW w:w="1041"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41"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r>
      <w:tr w:rsidR="004E4D4C" w:rsidTr="004E4D4C">
        <w:trPr>
          <w:trHeight w:val="631"/>
        </w:trPr>
        <w:tc>
          <w:tcPr>
            <w:tcW w:w="1040" w:type="dxa"/>
          </w:tcPr>
          <w:p w:rsidR="004E4D4C" w:rsidRDefault="004E4D4C">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Overall survival</w:t>
            </w: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r>
      <w:tr w:rsidR="00576C93" w:rsidTr="004E4D4C">
        <w:tc>
          <w:tcPr>
            <w:tcW w:w="1040" w:type="dxa"/>
            <w:vMerge w:val="restart"/>
          </w:tcPr>
          <w:p w:rsidR="00576C93" w:rsidRDefault="00043012">
            <w:pPr>
              <w:widowControl w:val="0"/>
              <w:spacing w:before="114" w:after="114" w:line="360" w:lineRule="auto"/>
              <w:rPr>
                <w:rFonts w:ascii="Arial" w:eastAsia="Calibri" w:hAnsi="Arial" w:cs="Arial"/>
                <w:sz w:val="18"/>
                <w:szCs w:val="18"/>
                <w:lang w:val="en-US" w:eastAsia="de-DE"/>
              </w:rPr>
            </w:pPr>
            <w:r>
              <w:rPr>
                <w:rFonts w:ascii="Arial" w:eastAsia="Calibri" w:hAnsi="Arial" w:cs="Arial"/>
                <w:sz w:val="18"/>
                <w:szCs w:val="18"/>
                <w:lang w:val="en-US" w:eastAsia="de-DE"/>
              </w:rPr>
              <w:t>Event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r>
      <w:tr w:rsidR="00576C93" w:rsidTr="004E4D4C">
        <w:tc>
          <w:tcPr>
            <w:tcW w:w="1040" w:type="dxa"/>
            <w:vMerge/>
          </w:tcPr>
          <w:p w:rsidR="00576C93" w:rsidRDefault="00576C93">
            <w:pPr>
              <w:widowControl w:val="0"/>
              <w:spacing w:after="0" w:line="360" w:lineRule="auto"/>
              <w:rPr>
                <w:rFonts w:ascii="Arial" w:eastAsia="Calibri"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ColPctN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3.77 %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1.45</w:t>
            </w:r>
            <w:r>
              <w:rPr>
                <w:rFonts w:ascii="Arial" w:eastAsia="Calibri" w:hAnsi="Arial" w:cs="Arial"/>
                <w:sz w:val="18"/>
                <w:szCs w:val="18"/>
                <w:lang w:val="en-US" w:eastAsia="de-DE"/>
              </w:rPr>
              <w:t xml:space="preserve">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1.62 %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r>
      <w:tr w:rsidR="00576C93" w:rsidTr="004E4D4C">
        <w:tc>
          <w:tcPr>
            <w:tcW w:w="1040" w:type="dxa"/>
            <w:vMerge w:val="restart"/>
          </w:tcPr>
          <w:p w:rsidR="00576C93" w:rsidRDefault="00043012">
            <w:pPr>
              <w:widowControl w:val="0"/>
              <w:spacing w:before="57" w:after="57" w:line="360" w:lineRule="auto"/>
              <w:rPr>
                <w:rFonts w:ascii="Arial" w:eastAsia="Calibri" w:hAnsi="Arial" w:cs="Arial"/>
                <w:sz w:val="18"/>
                <w:szCs w:val="18"/>
                <w:lang w:val="en-US" w:eastAsia="de-DE"/>
              </w:rPr>
            </w:pPr>
            <w:r>
              <w:rPr>
                <w:rFonts w:ascii="Arial" w:eastAsia="Calibri" w:hAnsi="Arial" w:cs="Arial"/>
                <w:sz w:val="18"/>
                <w:szCs w:val="18"/>
                <w:lang w:val="en-US" w:eastAsia="de-DE"/>
              </w:rPr>
              <w:t>Censored</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51</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5</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68</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7</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63</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4</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182</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16</w:t>
            </w:r>
          </w:p>
        </w:tc>
      </w:tr>
      <w:tr w:rsidR="00576C93" w:rsidTr="004E4D4C">
        <w:tc>
          <w:tcPr>
            <w:tcW w:w="1040" w:type="dxa"/>
            <w:vMerge/>
          </w:tcPr>
          <w:p w:rsidR="00576C93" w:rsidRDefault="00576C93">
            <w:pPr>
              <w:widowControl w:val="0"/>
              <w:spacing w:after="0" w:line="360" w:lineRule="auto"/>
              <w:rPr>
                <w:sz w:val="18"/>
                <w:szCs w:val="18"/>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ColPctN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96.</w:t>
            </w:r>
            <w:r>
              <w:rPr>
                <w:rFonts w:ascii="Arial" w:eastAsia="Calibri" w:hAnsi="Arial" w:cs="Arial"/>
                <w:sz w:val="18"/>
                <w:szCs w:val="18"/>
                <w:lang w:val="en-US" w:eastAsia="de-DE"/>
              </w:rPr>
              <w:t>23 %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98.55 %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98.38 %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r>
      <w:tr w:rsidR="00576C93" w:rsidTr="004E4D4C">
        <w:tc>
          <w:tcPr>
            <w:tcW w:w="1040" w:type="dxa"/>
            <w:vMerge w:val="restart"/>
          </w:tcPr>
          <w:p w:rsidR="00576C93" w:rsidRDefault="00043012">
            <w:pPr>
              <w:widowControl w:val="0"/>
              <w:spacing w:before="57" w:after="57" w:line="360" w:lineRule="auto"/>
              <w:rPr>
                <w:sz w:val="18"/>
                <w:szCs w:val="18"/>
              </w:rPr>
            </w:pPr>
            <w:r>
              <w:rPr>
                <w:rFonts w:ascii="Arial" w:eastAsia="Calibri" w:hAnsi="Arial" w:cs="Arial"/>
                <w:sz w:val="18"/>
                <w:szCs w:val="18"/>
                <w:lang w:val="en-US" w:eastAsia="de-DE"/>
              </w:rPr>
              <w:t>All</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53</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5</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69</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7</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63</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4</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185</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16</w:t>
            </w:r>
          </w:p>
        </w:tc>
      </w:tr>
      <w:tr w:rsidR="00576C93" w:rsidTr="004E4D4C">
        <w:tc>
          <w:tcPr>
            <w:tcW w:w="1040" w:type="dxa"/>
            <w:vMerge/>
          </w:tcPr>
          <w:p w:rsidR="00576C93" w:rsidRDefault="00576C93">
            <w:pPr>
              <w:widowControl w:val="0"/>
              <w:spacing w:after="0" w:line="360" w:lineRule="auto"/>
              <w:rPr>
                <w:rFonts w:ascii="Arial"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ColPctN</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r>
    </w:tbl>
    <w:p w:rsidR="00576C93" w:rsidRDefault="00576C93">
      <w:pPr>
        <w:spacing w:after="0" w:line="240" w:lineRule="auto"/>
        <w:jc w:val="both"/>
        <w:rPr>
          <w:lang w:val="en-US"/>
        </w:rPr>
      </w:pPr>
    </w:p>
    <w:p w:rsidR="00576C93" w:rsidRDefault="00043012">
      <w:pPr>
        <w:spacing w:after="0" w:line="240" w:lineRule="auto"/>
        <w:jc w:val="both"/>
        <w:rPr>
          <w:rFonts w:ascii="Arial" w:eastAsia="Calibri" w:hAnsi="Arial" w:cs="Arial"/>
          <w:sz w:val="20"/>
          <w:szCs w:val="20"/>
          <w:lang w:val="en-US" w:eastAsia="de-DE"/>
        </w:rPr>
      </w:pPr>
      <w:r>
        <w:rPr>
          <w:rFonts w:ascii="Arial" w:eastAsia="Calibri" w:hAnsi="Arial" w:cs="Arial"/>
          <w:sz w:val="20"/>
          <w:szCs w:val="20"/>
          <w:lang w:val="en-US" w:eastAsia="de-DE"/>
        </w:rPr>
        <w:t xml:space="preserve">Included in the analysis were all participants with informed consent for the Harmony FU study without evidence of Diabetes mellitus at Harmony </w:t>
      </w:r>
      <w:r>
        <w:rPr>
          <w:rFonts w:ascii="Arial" w:eastAsia="Calibri" w:hAnsi="Arial" w:cs="Arial"/>
          <w:sz w:val="20"/>
          <w:szCs w:val="20"/>
          <w:lang w:val="en-US" w:eastAsia="de-DE"/>
        </w:rPr>
        <w:t>study inclusion nor evidence of post-transplant diabetes mellitus (PTDM) during first year of the study.</w:t>
      </w:r>
      <w:r>
        <w:br w:type="page"/>
      </w:r>
    </w:p>
    <w:p w:rsidR="00576C93" w:rsidRDefault="00043012">
      <w:pPr>
        <w:spacing w:after="0" w:line="240" w:lineRule="auto"/>
        <w:jc w:val="both"/>
        <w:rPr>
          <w:rFonts w:ascii="Arial" w:hAnsi="Arial" w:cs="Arial"/>
          <w:b/>
          <w:sz w:val="24"/>
          <w:szCs w:val="24"/>
          <w:lang w:val="en-US" w:eastAsia="de-DE"/>
        </w:rPr>
      </w:pPr>
      <w:r>
        <w:rPr>
          <w:rFonts w:ascii="Arial" w:hAnsi="Arial" w:cs="Arial"/>
          <w:b/>
          <w:sz w:val="24"/>
          <w:szCs w:val="24"/>
          <w:lang w:val="en-US" w:eastAsia="de-DE"/>
        </w:rPr>
        <w:lastRenderedPageBreak/>
        <w:t>Table S3C: Comparison of overall survival in study arms A, B and C as a function of new onset post-transplant diabetes mellitus (PTDM) in the first ye</w:t>
      </w:r>
      <w:r>
        <w:rPr>
          <w:rFonts w:ascii="Arial" w:hAnsi="Arial" w:cs="Arial"/>
          <w:b/>
          <w:sz w:val="24"/>
          <w:szCs w:val="24"/>
          <w:lang w:val="en-US" w:eastAsia="de-DE"/>
        </w:rPr>
        <w:t>ar of the Harmony FU study</w:t>
      </w:r>
    </w:p>
    <w:p w:rsidR="00576C93" w:rsidRDefault="00576C93">
      <w:pPr>
        <w:spacing w:after="0" w:line="240" w:lineRule="auto"/>
        <w:jc w:val="both"/>
        <w:rPr>
          <w:rFonts w:ascii="Arial" w:hAnsi="Arial" w:cs="Arial"/>
          <w:b/>
          <w:sz w:val="24"/>
          <w:szCs w:val="24"/>
          <w:lang w:val="en-US" w:eastAsia="de-DE"/>
        </w:rPr>
      </w:pPr>
    </w:p>
    <w:p w:rsidR="00576C93" w:rsidRDefault="00576C93">
      <w:pPr>
        <w:spacing w:after="0" w:line="240" w:lineRule="auto"/>
        <w:rPr>
          <w:rFonts w:ascii="Arial" w:hAnsi="Arial" w:cs="Arial"/>
          <w:b/>
          <w:bCs/>
          <w:i/>
          <w:iCs/>
          <w:sz w:val="24"/>
          <w:szCs w:val="24"/>
          <w:lang w:val="en-US"/>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0"/>
        <w:gridCol w:w="1041"/>
        <w:gridCol w:w="1040"/>
        <w:gridCol w:w="1039"/>
        <w:gridCol w:w="1040"/>
        <w:gridCol w:w="1041"/>
        <w:gridCol w:w="1040"/>
        <w:gridCol w:w="1039"/>
        <w:gridCol w:w="1041"/>
        <w:gridCol w:w="1040"/>
        <w:gridCol w:w="1039"/>
        <w:gridCol w:w="1040"/>
        <w:gridCol w:w="1041"/>
        <w:gridCol w:w="1039"/>
      </w:tblGrid>
      <w:tr w:rsidR="00576C93" w:rsidTr="004E4D4C">
        <w:trPr>
          <w:trHeight w:val="272"/>
        </w:trPr>
        <w:tc>
          <w:tcPr>
            <w:tcW w:w="2081" w:type="dxa"/>
            <w:gridSpan w:val="2"/>
            <w:vMerge w:val="restart"/>
            <w:shd w:val="clear" w:color="auto" w:fill="D9D9D9"/>
          </w:tcPr>
          <w:p w:rsidR="00576C93" w:rsidRDefault="00576C93">
            <w:pPr>
              <w:widowControl w:val="0"/>
              <w:spacing w:after="0" w:line="240" w:lineRule="auto"/>
              <w:rPr>
                <w:sz w:val="18"/>
                <w:szCs w:val="18"/>
              </w:rPr>
            </w:pP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9359" w:type="dxa"/>
            <w:gridSpan w:val="9"/>
            <w:shd w:val="clear" w:color="auto" w:fill="D9D9D9"/>
          </w:tcPr>
          <w:p w:rsidR="00576C93" w:rsidRDefault="00043012">
            <w:pPr>
              <w:widowControl w:val="0"/>
              <w:spacing w:after="0" w:line="240" w:lineRule="auto"/>
              <w:jc w:val="center"/>
              <w:rPr>
                <w:rFonts w:ascii="Arial" w:hAnsi="Arial" w:cs="Arial"/>
                <w:b/>
                <w:sz w:val="18"/>
                <w:szCs w:val="18"/>
                <w:lang w:val="en-US" w:eastAsia="de-DE"/>
              </w:rPr>
            </w:pPr>
            <w:r>
              <w:rPr>
                <w:rFonts w:ascii="Arial" w:hAnsi="Arial" w:cs="Arial"/>
                <w:b/>
                <w:sz w:val="18"/>
                <w:szCs w:val="18"/>
                <w:lang w:val="en-US" w:eastAsia="de-DE"/>
              </w:rPr>
              <w:t>Planned Treatment Arm</w:t>
            </w:r>
          </w:p>
        </w:tc>
        <w:tc>
          <w:tcPr>
            <w:tcW w:w="3120" w:type="dxa"/>
            <w:gridSpan w:val="3"/>
            <w:shd w:val="clear" w:color="auto" w:fill="D9D9D9"/>
          </w:tcPr>
          <w:p w:rsidR="00576C93" w:rsidRDefault="00576C93">
            <w:pPr>
              <w:widowControl w:val="0"/>
              <w:spacing w:before="114" w:after="114" w:line="240" w:lineRule="auto"/>
              <w:jc w:val="center"/>
              <w:rPr>
                <w:sz w:val="18"/>
                <w:szCs w:val="18"/>
              </w:rPr>
            </w:pPr>
          </w:p>
        </w:tc>
      </w:tr>
      <w:tr w:rsidR="00576C93" w:rsidTr="004E4D4C">
        <w:tc>
          <w:tcPr>
            <w:tcW w:w="2081" w:type="dxa"/>
            <w:gridSpan w:val="2"/>
            <w:vMerge/>
            <w:shd w:val="clear" w:color="auto" w:fill="D9D9D9"/>
          </w:tcPr>
          <w:p w:rsidR="00576C93" w:rsidRDefault="00576C93">
            <w:pPr>
              <w:widowControl w:val="0"/>
              <w:spacing w:after="0" w:line="240" w:lineRule="auto"/>
              <w:rPr>
                <w:rFonts w:ascii="Arial" w:eastAsia="Calibri" w:hAnsi="Arial" w:cs="Arial"/>
                <w:b/>
                <w:sz w:val="18"/>
                <w:szCs w:val="18"/>
                <w:lang w:val="en-US" w:eastAsia="de-DE"/>
              </w:rPr>
            </w:pPr>
          </w:p>
        </w:tc>
        <w:tc>
          <w:tcPr>
            <w:tcW w:w="12479" w:type="dxa"/>
            <w:gridSpan w:val="12"/>
            <w:shd w:val="clear" w:color="auto" w:fill="D9D9D9"/>
          </w:tcPr>
          <w:p w:rsidR="00576C93" w:rsidRDefault="00043012">
            <w:pPr>
              <w:widowControl w:val="0"/>
              <w:spacing w:after="0" w:line="240" w:lineRule="auto"/>
              <w:jc w:val="center"/>
              <w:rPr>
                <w:rFonts w:ascii="Arial" w:eastAsia="Calibri" w:hAnsi="Arial" w:cs="Arial"/>
                <w:b/>
                <w:sz w:val="18"/>
                <w:szCs w:val="18"/>
                <w:lang w:val="en-US" w:eastAsia="de-DE"/>
              </w:rPr>
            </w:pPr>
            <w:r>
              <w:rPr>
                <w:rFonts w:ascii="Arial" w:eastAsia="Calibri" w:hAnsi="Arial" w:cs="Arial"/>
                <w:b/>
                <w:sz w:val="18"/>
                <w:szCs w:val="18"/>
                <w:lang w:val="en-US" w:eastAsia="de-DE"/>
              </w:rPr>
              <w:t>Post-transplant diabetes mellitus in the Harmony study  during the first year</w:t>
            </w:r>
          </w:p>
          <w:p w:rsidR="00576C93" w:rsidRDefault="00043012">
            <w:pPr>
              <w:widowControl w:val="0"/>
              <w:spacing w:after="0" w:line="240" w:lineRule="auto"/>
              <w:jc w:val="center"/>
              <w:rPr>
                <w:rFonts w:ascii="Arial" w:eastAsia="Calibri" w:hAnsi="Arial" w:cs="Arial"/>
                <w:b/>
                <w:sz w:val="18"/>
                <w:szCs w:val="18"/>
                <w:lang w:val="en-US" w:eastAsia="de-DE"/>
              </w:rPr>
            </w:pPr>
            <w:r>
              <w:rPr>
                <w:rFonts w:ascii="Arial" w:eastAsia="Calibri" w:hAnsi="Arial" w:cs="Arial"/>
                <w:b/>
                <w:sz w:val="18"/>
                <w:szCs w:val="18"/>
                <w:lang w:val="en-US" w:eastAsia="de-DE"/>
              </w:rPr>
              <w:t>(ADCE or SDTM.LB)</w:t>
            </w:r>
          </w:p>
        </w:tc>
      </w:tr>
      <w:tr w:rsidR="00576C93" w:rsidTr="004E4D4C">
        <w:tc>
          <w:tcPr>
            <w:tcW w:w="2081" w:type="dxa"/>
            <w:gridSpan w:val="2"/>
            <w:vMerge/>
            <w:shd w:val="clear" w:color="auto" w:fill="D9D9D9"/>
          </w:tcPr>
          <w:p w:rsidR="00576C93" w:rsidRDefault="00576C93">
            <w:pPr>
              <w:widowControl w:val="0"/>
              <w:spacing w:after="0" w:line="240" w:lineRule="auto"/>
              <w:rPr>
                <w:rFonts w:ascii="Arial" w:eastAsia="Calibri" w:hAnsi="Arial" w:cs="Arial"/>
                <w:b/>
                <w:sz w:val="18"/>
                <w:szCs w:val="18"/>
                <w:lang w:val="en-US" w:eastAsia="de-DE"/>
              </w:rPr>
            </w:pPr>
          </w:p>
        </w:tc>
        <w:tc>
          <w:tcPr>
            <w:tcW w:w="3119" w:type="dxa"/>
            <w:gridSpan w:val="3"/>
            <w:shd w:val="clear" w:color="auto" w:fill="D9D9D9"/>
          </w:tcPr>
          <w:p w:rsidR="00576C93" w:rsidRDefault="00043012">
            <w:pPr>
              <w:widowControl w:val="0"/>
              <w:spacing w:after="0" w:line="240" w:lineRule="auto"/>
              <w:rPr>
                <w:sz w:val="18"/>
                <w:szCs w:val="18"/>
              </w:rPr>
            </w:pPr>
            <w:r>
              <w:rPr>
                <w:rFonts w:ascii="Arial" w:eastAsia="Calibri" w:hAnsi="Arial" w:cs="Arial"/>
                <w:b/>
                <w:sz w:val="18"/>
                <w:szCs w:val="18"/>
                <w:lang w:val="en-US" w:eastAsia="de-DE"/>
              </w:rPr>
              <w:t>Arm A:</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Basiliximab/ Steroids</w:t>
            </w:r>
          </w:p>
        </w:tc>
        <w:tc>
          <w:tcPr>
            <w:tcW w:w="3120" w:type="dxa"/>
            <w:gridSpan w:val="3"/>
            <w:shd w:val="clear" w:color="auto" w:fill="D9D9D9"/>
          </w:tcPr>
          <w:p w:rsidR="00576C93" w:rsidRDefault="00043012">
            <w:pPr>
              <w:widowControl w:val="0"/>
              <w:spacing w:after="0" w:line="240" w:lineRule="auto"/>
              <w:rPr>
                <w:sz w:val="18"/>
                <w:szCs w:val="18"/>
              </w:rPr>
            </w:pPr>
            <w:r>
              <w:rPr>
                <w:rFonts w:ascii="Arial" w:eastAsia="Calibri" w:hAnsi="Arial" w:cs="Arial"/>
                <w:b/>
                <w:sz w:val="18"/>
                <w:szCs w:val="18"/>
                <w:lang w:val="en-US" w:eastAsia="de-DE"/>
              </w:rPr>
              <w:t>Arm B:</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Basiliximab/RSWD</w:t>
            </w:r>
          </w:p>
        </w:tc>
        <w:tc>
          <w:tcPr>
            <w:tcW w:w="3120" w:type="dxa"/>
            <w:gridSpan w:val="3"/>
            <w:shd w:val="clear" w:color="auto" w:fill="D9D9D9"/>
          </w:tcPr>
          <w:p w:rsidR="00576C93" w:rsidRDefault="00043012">
            <w:pPr>
              <w:widowControl w:val="0"/>
              <w:spacing w:after="0" w:line="240" w:lineRule="auto"/>
              <w:rPr>
                <w:sz w:val="18"/>
                <w:szCs w:val="18"/>
              </w:rPr>
            </w:pPr>
            <w:r>
              <w:rPr>
                <w:rFonts w:ascii="Arial" w:eastAsia="Calibri" w:hAnsi="Arial" w:cs="Arial"/>
                <w:b/>
                <w:sz w:val="18"/>
                <w:szCs w:val="18"/>
                <w:lang w:val="en-US" w:eastAsia="de-DE"/>
              </w:rPr>
              <w:t>Arm C:</w:t>
            </w:r>
          </w:p>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rATG/ RSWD</w:t>
            </w:r>
          </w:p>
        </w:tc>
        <w:tc>
          <w:tcPr>
            <w:tcW w:w="3120" w:type="dxa"/>
            <w:gridSpan w:val="3"/>
            <w:shd w:val="clear" w:color="auto" w:fill="D9D9D9"/>
          </w:tcPr>
          <w:p w:rsidR="00576C93" w:rsidRDefault="00043012">
            <w:pPr>
              <w:widowControl w:val="0"/>
              <w:spacing w:after="0" w:line="240" w:lineRule="auto"/>
              <w:jc w:val="center"/>
              <w:rPr>
                <w:rFonts w:ascii="Arial" w:eastAsia="Calibri" w:hAnsi="Arial" w:cs="Arial"/>
                <w:b/>
                <w:sz w:val="18"/>
                <w:szCs w:val="18"/>
                <w:lang w:val="en-US" w:eastAsia="de-DE"/>
              </w:rPr>
            </w:pPr>
            <w:r>
              <w:rPr>
                <w:rFonts w:ascii="Arial" w:eastAsia="Calibri" w:hAnsi="Arial" w:cs="Arial"/>
                <w:b/>
                <w:sz w:val="18"/>
                <w:szCs w:val="18"/>
                <w:lang w:val="en-US" w:eastAsia="de-DE"/>
              </w:rPr>
              <w:t>All</w:t>
            </w:r>
          </w:p>
        </w:tc>
      </w:tr>
      <w:tr w:rsidR="00576C93" w:rsidTr="004E4D4C">
        <w:tc>
          <w:tcPr>
            <w:tcW w:w="2081" w:type="dxa"/>
            <w:gridSpan w:val="2"/>
            <w:vMerge/>
            <w:shd w:val="clear" w:color="auto" w:fill="D9D9D9"/>
          </w:tcPr>
          <w:p w:rsidR="00576C93" w:rsidRDefault="00576C93">
            <w:pPr>
              <w:widowControl w:val="0"/>
              <w:spacing w:after="0" w:line="240" w:lineRule="auto"/>
              <w:rPr>
                <w:rFonts w:ascii="Arial" w:eastAsia="Calibri" w:hAnsi="Arial" w:cs="Arial"/>
                <w:b/>
                <w:sz w:val="18"/>
                <w:szCs w:val="18"/>
                <w:lang w:val="en-US" w:eastAsia="de-DE"/>
              </w:rPr>
            </w:pP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c>
          <w:tcPr>
            <w:tcW w:w="1041"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c>
          <w:tcPr>
            <w:tcW w:w="1041"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c>
          <w:tcPr>
            <w:tcW w:w="1040"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w:t>
            </w:r>
          </w:p>
        </w:tc>
        <w:tc>
          <w:tcPr>
            <w:tcW w:w="1041"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No</w:t>
            </w:r>
          </w:p>
        </w:tc>
        <w:tc>
          <w:tcPr>
            <w:tcW w:w="1039" w:type="dxa"/>
            <w:shd w:val="clear" w:color="auto" w:fill="D9D9D9"/>
          </w:tcPr>
          <w:p w:rsidR="00576C93" w:rsidRDefault="00043012">
            <w:pPr>
              <w:widowControl w:val="0"/>
              <w:spacing w:after="0" w:line="240" w:lineRule="auto"/>
              <w:rPr>
                <w:rFonts w:ascii="Arial" w:eastAsia="Calibri" w:hAnsi="Arial" w:cs="Arial"/>
                <w:b/>
                <w:sz w:val="18"/>
                <w:szCs w:val="18"/>
                <w:lang w:val="en-US" w:eastAsia="de-DE"/>
              </w:rPr>
            </w:pPr>
            <w:r>
              <w:rPr>
                <w:rFonts w:ascii="Arial" w:eastAsia="Calibri" w:hAnsi="Arial" w:cs="Arial"/>
                <w:b/>
                <w:sz w:val="18"/>
                <w:szCs w:val="18"/>
                <w:lang w:val="en-US" w:eastAsia="de-DE"/>
              </w:rPr>
              <w:t>Yes</w:t>
            </w:r>
          </w:p>
        </w:tc>
      </w:tr>
      <w:tr w:rsidR="004E4D4C" w:rsidTr="004E4D4C">
        <w:trPr>
          <w:trHeight w:val="631"/>
        </w:trPr>
        <w:tc>
          <w:tcPr>
            <w:tcW w:w="1040" w:type="dxa"/>
          </w:tcPr>
          <w:p w:rsidR="004E4D4C" w:rsidRDefault="004E4D4C">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Overall survival</w:t>
            </w: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c>
          <w:tcPr>
            <w:tcW w:w="1040" w:type="dxa"/>
          </w:tcPr>
          <w:p w:rsidR="004E4D4C" w:rsidRDefault="004E4D4C">
            <w:pPr>
              <w:widowControl w:val="0"/>
              <w:spacing w:after="0" w:line="360" w:lineRule="auto"/>
              <w:rPr>
                <w:rFonts w:ascii="Arial" w:eastAsia="Calibri" w:hAnsi="Arial" w:cs="Arial"/>
                <w:sz w:val="18"/>
                <w:szCs w:val="18"/>
                <w:lang w:val="en-US" w:eastAsia="de-DE"/>
              </w:rPr>
            </w:pPr>
          </w:p>
        </w:tc>
        <w:tc>
          <w:tcPr>
            <w:tcW w:w="1041" w:type="dxa"/>
          </w:tcPr>
          <w:p w:rsidR="004E4D4C" w:rsidRDefault="004E4D4C">
            <w:pPr>
              <w:widowControl w:val="0"/>
              <w:spacing w:after="0" w:line="360" w:lineRule="auto"/>
              <w:rPr>
                <w:rFonts w:ascii="Arial" w:eastAsia="Calibri" w:hAnsi="Arial" w:cs="Arial"/>
                <w:sz w:val="18"/>
                <w:szCs w:val="18"/>
                <w:lang w:val="en-US" w:eastAsia="de-DE"/>
              </w:rPr>
            </w:pPr>
          </w:p>
        </w:tc>
        <w:tc>
          <w:tcPr>
            <w:tcW w:w="1039" w:type="dxa"/>
          </w:tcPr>
          <w:p w:rsidR="004E4D4C" w:rsidRDefault="004E4D4C">
            <w:pPr>
              <w:widowControl w:val="0"/>
              <w:spacing w:after="0" w:line="360" w:lineRule="auto"/>
              <w:rPr>
                <w:rFonts w:ascii="Arial" w:eastAsia="Calibri" w:hAnsi="Arial" w:cs="Arial"/>
                <w:sz w:val="18"/>
                <w:szCs w:val="18"/>
                <w:lang w:val="en-US" w:eastAsia="de-DE"/>
              </w:rPr>
            </w:pPr>
          </w:p>
        </w:tc>
      </w:tr>
      <w:tr w:rsidR="00576C93" w:rsidTr="004E4D4C">
        <w:tc>
          <w:tcPr>
            <w:tcW w:w="1040" w:type="dxa"/>
            <w:vMerge w:val="restart"/>
          </w:tcPr>
          <w:p w:rsidR="00576C93" w:rsidRDefault="00043012">
            <w:pPr>
              <w:widowControl w:val="0"/>
              <w:spacing w:before="114" w:after="114" w:line="360" w:lineRule="auto"/>
              <w:rPr>
                <w:rFonts w:ascii="Arial" w:eastAsia="Calibri" w:hAnsi="Arial" w:cs="Arial"/>
                <w:sz w:val="18"/>
                <w:szCs w:val="18"/>
                <w:lang w:val="en-US" w:eastAsia="de-DE"/>
              </w:rPr>
            </w:pPr>
            <w:r>
              <w:rPr>
                <w:rFonts w:ascii="Arial" w:eastAsia="Calibri" w:hAnsi="Arial" w:cs="Arial"/>
                <w:sz w:val="18"/>
                <w:szCs w:val="18"/>
                <w:lang w:val="en-US" w:eastAsia="de-DE"/>
              </w:rPr>
              <w:t>Event</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N</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11</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6</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5</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5</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21</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w:t>
            </w:r>
          </w:p>
        </w:tc>
      </w:tr>
      <w:tr w:rsidR="00576C93" w:rsidTr="004E4D4C">
        <w:tc>
          <w:tcPr>
            <w:tcW w:w="1040" w:type="dxa"/>
            <w:vMerge/>
          </w:tcPr>
          <w:p w:rsidR="00576C93" w:rsidRDefault="00576C93">
            <w:pPr>
              <w:widowControl w:val="0"/>
              <w:spacing w:after="0" w:line="360" w:lineRule="auto"/>
              <w:rPr>
                <w:rFonts w:ascii="Arial" w:eastAsia="Calibri"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ColPctN</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10.58 %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8.96 %</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4.03 %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7.69 %</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3.97 %</w:t>
            </w:r>
          </w:p>
        </w:tc>
        <w:tc>
          <w:tcPr>
            <w:tcW w:w="1039"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5.93 %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6.29 %</w:t>
            </w:r>
          </w:p>
        </w:tc>
      </w:tr>
      <w:tr w:rsidR="00576C93" w:rsidTr="004E4D4C">
        <w:tc>
          <w:tcPr>
            <w:tcW w:w="1040" w:type="dxa"/>
            <w:vMerge w:val="restart"/>
          </w:tcPr>
          <w:p w:rsidR="00576C93" w:rsidRDefault="00043012">
            <w:pPr>
              <w:widowControl w:val="0"/>
              <w:spacing w:before="57" w:after="57" w:line="360" w:lineRule="auto"/>
              <w:rPr>
                <w:rFonts w:ascii="Arial" w:eastAsia="Calibri" w:hAnsi="Arial" w:cs="Arial"/>
                <w:sz w:val="18"/>
                <w:szCs w:val="18"/>
                <w:lang w:val="en-US" w:eastAsia="de-DE"/>
              </w:rPr>
            </w:pPr>
            <w:r>
              <w:rPr>
                <w:rFonts w:ascii="Arial" w:eastAsia="Calibri" w:hAnsi="Arial" w:cs="Arial"/>
                <w:sz w:val="18"/>
                <w:szCs w:val="18"/>
                <w:lang w:val="en-US" w:eastAsia="de-DE"/>
              </w:rPr>
              <w:t>Censored</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N</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93</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61</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119</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36</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121</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37</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333</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134</w:t>
            </w:r>
          </w:p>
        </w:tc>
      </w:tr>
      <w:tr w:rsidR="00576C93" w:rsidTr="004E4D4C">
        <w:tc>
          <w:tcPr>
            <w:tcW w:w="1040" w:type="dxa"/>
            <w:vMerge/>
          </w:tcPr>
          <w:p w:rsidR="00576C93" w:rsidRDefault="00576C93">
            <w:pPr>
              <w:widowControl w:val="0"/>
              <w:spacing w:after="0" w:line="360" w:lineRule="auto"/>
              <w:rPr>
                <w:sz w:val="18"/>
                <w:szCs w:val="18"/>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ColPctN</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89.42 %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91.04 %</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95.97 %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92.31 %</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96.03 %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 xml:space="preserve">94.07 </w:t>
            </w:r>
            <w:r>
              <w:rPr>
                <w:rFonts w:ascii="Arial" w:eastAsia="Calibri" w:hAnsi="Arial" w:cs="Arial"/>
                <w:sz w:val="18"/>
                <w:szCs w:val="18"/>
                <w:lang w:val="en-US" w:eastAsia="de-DE"/>
              </w:rPr>
              <w:t>%</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93.71 %</w:t>
            </w:r>
          </w:p>
        </w:tc>
      </w:tr>
      <w:tr w:rsidR="00576C93" w:rsidTr="004E4D4C">
        <w:tc>
          <w:tcPr>
            <w:tcW w:w="1040" w:type="dxa"/>
            <w:vMerge w:val="restart"/>
          </w:tcPr>
          <w:p w:rsidR="00576C93" w:rsidRDefault="00043012">
            <w:pPr>
              <w:widowControl w:val="0"/>
              <w:spacing w:before="57" w:after="57" w:line="360" w:lineRule="auto"/>
              <w:rPr>
                <w:sz w:val="18"/>
                <w:szCs w:val="18"/>
              </w:rPr>
            </w:pPr>
            <w:r>
              <w:rPr>
                <w:rFonts w:ascii="Arial" w:eastAsia="Calibri" w:hAnsi="Arial" w:cs="Arial"/>
                <w:sz w:val="18"/>
                <w:szCs w:val="18"/>
                <w:lang w:val="en-US" w:eastAsia="de-DE"/>
              </w:rPr>
              <w:t>All</w:t>
            </w: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N</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104</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67</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124</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39</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126</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37</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354</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143</w:t>
            </w:r>
          </w:p>
        </w:tc>
      </w:tr>
      <w:tr w:rsidR="00576C93" w:rsidTr="004E4D4C">
        <w:tc>
          <w:tcPr>
            <w:tcW w:w="1040" w:type="dxa"/>
            <w:vMerge/>
          </w:tcPr>
          <w:p w:rsidR="00576C93" w:rsidRDefault="00576C93">
            <w:pPr>
              <w:widowControl w:val="0"/>
              <w:spacing w:after="0" w:line="360" w:lineRule="auto"/>
              <w:rPr>
                <w:rFonts w:ascii="Arial"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ColPctN</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w:t>
            </w:r>
            <w:r>
              <w:rPr>
                <w:rFonts w:ascii="Arial" w:eastAsia="Calibri" w:hAnsi="Arial" w:cs="Arial"/>
                <w:sz w:val="18"/>
                <w:szCs w:val="18"/>
                <w:lang w:val="en-US" w:eastAsia="de-DE"/>
              </w:rPr>
              <w:t xml:space="preserve"> %</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1" w:type="dxa"/>
          </w:tcPr>
          <w:p w:rsidR="00576C93" w:rsidRDefault="00576C93">
            <w:pPr>
              <w:widowControl w:val="0"/>
              <w:spacing w:after="0" w:line="360" w:lineRule="auto"/>
              <w:rPr>
                <w:rFonts w:ascii="Arial" w:eastAsia="Calibri" w:hAnsi="Arial" w:cs="Arial"/>
                <w:sz w:val="18"/>
                <w:szCs w:val="18"/>
                <w:lang w:val="en-US" w:eastAsia="de-DE"/>
              </w:rPr>
            </w:pPr>
          </w:p>
        </w:tc>
        <w:tc>
          <w:tcPr>
            <w:tcW w:w="1040"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40" w:type="dxa"/>
          </w:tcPr>
          <w:p w:rsidR="00576C93" w:rsidRDefault="00576C93">
            <w:pPr>
              <w:widowControl w:val="0"/>
              <w:spacing w:after="0" w:line="360" w:lineRule="auto"/>
              <w:rPr>
                <w:rFonts w:ascii="Arial" w:eastAsia="Calibri" w:hAnsi="Arial" w:cs="Arial"/>
                <w:sz w:val="18"/>
                <w:szCs w:val="18"/>
                <w:lang w:val="en-US" w:eastAsia="de-DE"/>
              </w:rPr>
            </w:pPr>
          </w:p>
        </w:tc>
        <w:tc>
          <w:tcPr>
            <w:tcW w:w="1041"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c>
          <w:tcPr>
            <w:tcW w:w="1039" w:type="dxa"/>
          </w:tcPr>
          <w:p w:rsidR="00576C93" w:rsidRDefault="00043012">
            <w:pPr>
              <w:widowControl w:val="0"/>
              <w:spacing w:after="0" w:line="360" w:lineRule="auto"/>
              <w:rPr>
                <w:rFonts w:ascii="Arial" w:eastAsia="Calibri" w:hAnsi="Arial" w:cs="Arial"/>
                <w:sz w:val="18"/>
                <w:szCs w:val="18"/>
                <w:lang w:val="en-US" w:eastAsia="de-DE"/>
              </w:rPr>
            </w:pPr>
            <w:r>
              <w:rPr>
                <w:rFonts w:ascii="Arial" w:eastAsia="Calibri" w:hAnsi="Arial" w:cs="Arial"/>
                <w:sz w:val="18"/>
                <w:szCs w:val="18"/>
                <w:lang w:val="en-US" w:eastAsia="de-DE"/>
              </w:rPr>
              <w:t>100.00 %</w:t>
            </w:r>
          </w:p>
        </w:tc>
      </w:tr>
    </w:tbl>
    <w:p w:rsidR="00576C93" w:rsidRDefault="00576C93">
      <w:pPr>
        <w:spacing w:after="0" w:line="240" w:lineRule="auto"/>
        <w:jc w:val="both"/>
        <w:rPr>
          <w:lang w:val="en-US"/>
        </w:rPr>
      </w:pPr>
    </w:p>
    <w:p w:rsidR="00576C93" w:rsidRDefault="00043012">
      <w:pPr>
        <w:spacing w:after="0" w:line="240" w:lineRule="auto"/>
        <w:jc w:val="both"/>
        <w:rPr>
          <w:rFonts w:ascii="Arial" w:eastAsia="Calibri" w:hAnsi="Arial" w:cs="Arial"/>
          <w:sz w:val="20"/>
          <w:szCs w:val="20"/>
          <w:lang w:val="en-US" w:eastAsia="de-DE"/>
        </w:rPr>
      </w:pPr>
      <w:r>
        <w:rPr>
          <w:rFonts w:ascii="Arial" w:eastAsia="Calibri" w:hAnsi="Arial" w:cs="Arial"/>
          <w:sz w:val="20"/>
          <w:szCs w:val="20"/>
          <w:lang w:val="en-US" w:eastAsia="de-DE"/>
        </w:rPr>
        <w:t xml:space="preserve">Included in the analysis were all participants without evidence of Diabetes mellitus at Harmony study </w:t>
      </w:r>
      <w:r>
        <w:rPr>
          <w:rFonts w:ascii="Arial" w:eastAsia="Calibri" w:hAnsi="Arial" w:cs="Arial"/>
          <w:sz w:val="20"/>
          <w:szCs w:val="20"/>
          <w:lang w:val="en-US" w:eastAsia="de-DE"/>
        </w:rPr>
        <w:t>inclusion</w:t>
      </w:r>
    </w:p>
    <w:sectPr w:rsidR="00576C93">
      <w:pgSz w:w="16838" w:h="11906" w:orient="landscape"/>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00002FF" w:usb1="5000205B" w:usb2="00000001"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C93"/>
    <w:rsid w:val="00043012"/>
    <w:rsid w:val="004E4D4C"/>
    <w:rsid w:val="00576C9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A8299"/>
  <w15:docId w15:val="{BEC52462-911D-4AAD-8C13-585E9E267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2B90"/>
    <w:pPr>
      <w:spacing w:after="160" w:line="259" w:lineRule="auto"/>
    </w:pPr>
    <w:rPr>
      <w:rFonts w:cs="Times New Roman"/>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357720"/>
    <w:rPr>
      <w:rFonts w:ascii="Segoe UI" w:eastAsia="Calibri" w:hAnsi="Segoe UI" w:cs="Times New Roman"/>
      <w:sz w:val="18"/>
      <w:szCs w:val="18"/>
      <w:lang w:val="en-GB"/>
    </w:rPr>
  </w:style>
  <w:style w:type="character" w:styleId="Kommentarzeichen">
    <w:name w:val="annotation reference"/>
    <w:basedOn w:val="Absatz-Standardschriftart"/>
    <w:uiPriority w:val="99"/>
    <w:semiHidden/>
    <w:unhideWhenUsed/>
    <w:qFormat/>
    <w:rsid w:val="00372099"/>
    <w:rPr>
      <w:sz w:val="16"/>
      <w:szCs w:val="16"/>
    </w:rPr>
  </w:style>
  <w:style w:type="character" w:customStyle="1" w:styleId="KommentartextZchn">
    <w:name w:val="Kommentartext Zchn"/>
    <w:basedOn w:val="Absatz-Standardschriftart"/>
    <w:link w:val="Kommentartext"/>
    <w:uiPriority w:val="99"/>
    <w:semiHidden/>
    <w:qFormat/>
    <w:rsid w:val="00372099"/>
    <w:rPr>
      <w:rFonts w:ascii="Calibri" w:eastAsia="Calibri" w:hAnsi="Calibri" w:cs="Times New Roman"/>
      <w:sz w:val="20"/>
      <w:szCs w:val="20"/>
      <w:lang w:val="en-GB"/>
    </w:rPr>
  </w:style>
  <w:style w:type="character" w:customStyle="1" w:styleId="KommentarthemaZchn">
    <w:name w:val="Kommentarthema Zchn"/>
    <w:basedOn w:val="KommentartextZchn"/>
    <w:link w:val="Kommentarthema"/>
    <w:uiPriority w:val="99"/>
    <w:semiHidden/>
    <w:qFormat/>
    <w:rsid w:val="00372099"/>
    <w:rPr>
      <w:rFonts w:ascii="Calibri" w:eastAsia="Calibri" w:hAnsi="Calibri" w:cs="Times New Roman"/>
      <w:b/>
      <w:bCs/>
      <w:sz w:val="20"/>
      <w:szCs w:val="20"/>
      <w:lang w:val="en-GB"/>
    </w:rPr>
  </w:style>
  <w:style w:type="character" w:customStyle="1" w:styleId="Zeilennummerierung">
    <w:name w:val="Zeilennummerierung"/>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Sprechblasentext">
    <w:name w:val="Balloon Text"/>
    <w:basedOn w:val="Standard"/>
    <w:link w:val="SprechblasentextZchn"/>
    <w:uiPriority w:val="99"/>
    <w:semiHidden/>
    <w:unhideWhenUsed/>
    <w:qFormat/>
    <w:rsid w:val="00357720"/>
    <w:pPr>
      <w:spacing w:after="0" w:line="240" w:lineRule="auto"/>
    </w:pPr>
    <w:rPr>
      <w:rFonts w:ascii="Segoe UI" w:hAnsi="Segoe UI"/>
      <w:sz w:val="18"/>
      <w:szCs w:val="18"/>
    </w:rPr>
  </w:style>
  <w:style w:type="paragraph" w:styleId="Kommentartext">
    <w:name w:val="annotation text"/>
    <w:basedOn w:val="Standard"/>
    <w:link w:val="KommentartextZchn"/>
    <w:uiPriority w:val="99"/>
    <w:semiHidden/>
    <w:unhideWhenUsed/>
    <w:qFormat/>
    <w:rsid w:val="00372099"/>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372099"/>
    <w:rPr>
      <w:b/>
      <w:bCs/>
    </w:rPr>
  </w:style>
  <w:style w:type="paragraph" w:customStyle="1" w:styleId="Tabelleninhalt">
    <w:name w:val="Tabelleninhalt"/>
    <w:basedOn w:val="Standard"/>
    <w:qFormat/>
    <w:pPr>
      <w:widowControl w:val="0"/>
      <w:suppressLineNumbers/>
    </w:pPr>
  </w:style>
  <w:style w:type="paragraph" w:customStyle="1" w:styleId="Tabellenberschrift">
    <w:name w:val="Tabellenüberschrift"/>
    <w:basedOn w:val="Tabelleninhalt"/>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1484</Words>
  <Characters>9352</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Universitätsklinik Carl Gustav Carus Dresden</Company>
  <LinksUpToDate>false</LinksUpToDate>
  <CharactersWithSpaces>10815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Dollfus, Susanne</dc:creator>
  <dc:description/>
  <cp:lastModifiedBy>Stumpf, Julian</cp:lastModifiedBy>
  <cp:revision>3</cp:revision>
  <dcterms:created xsi:type="dcterms:W3CDTF">2023-06-02T12:57:00Z</dcterms:created>
  <dcterms:modified xsi:type="dcterms:W3CDTF">2023-06-02T13:01:00Z</dcterms:modified>
  <dc:language>de-DE</dc:language>
</cp:coreProperties>
</file>