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6469A" w14:textId="2A8B06BC" w:rsidR="00844883" w:rsidRDefault="00593264" w:rsidP="00B63171">
      <w:pPr>
        <w:pStyle w:val="Caption"/>
        <w:keepNext/>
        <w:spacing w:after="0"/>
        <w:rPr>
          <w:rFonts w:cs="Arial"/>
          <w:i w:val="0"/>
          <w:iCs w:val="0"/>
          <w:color w:val="000000" w:themeColor="text1"/>
          <w:sz w:val="24"/>
          <w:szCs w:val="24"/>
        </w:rPr>
      </w:pPr>
      <w:r>
        <w:rPr>
          <w:rFonts w:cs="Arial"/>
          <w:i w:val="0"/>
          <w:iCs w:val="0"/>
          <w:color w:val="000000" w:themeColor="text1"/>
          <w:sz w:val="24"/>
          <w:szCs w:val="24"/>
        </w:rPr>
        <w:t>S2</w:t>
      </w:r>
      <w:r w:rsidR="00A94AE8" w:rsidRPr="009C0D43">
        <w:rPr>
          <w:rFonts w:cs="Arial"/>
          <w:i w:val="0"/>
          <w:iCs w:val="0"/>
          <w:color w:val="000000" w:themeColor="text1"/>
          <w:sz w:val="24"/>
          <w:szCs w:val="24"/>
        </w:rPr>
        <w:t xml:space="preserve"> Table</w:t>
      </w:r>
      <w:bookmarkStart w:id="0" w:name="_GoBack"/>
      <w:bookmarkEnd w:id="0"/>
      <w:r w:rsidR="00A94AE8" w:rsidRPr="009C0D43">
        <w:rPr>
          <w:rFonts w:cs="Arial"/>
          <w:i w:val="0"/>
          <w:iCs w:val="0"/>
          <w:color w:val="000000" w:themeColor="text1"/>
          <w:sz w:val="24"/>
          <w:szCs w:val="24"/>
        </w:rPr>
        <w:t xml:space="preserve"> - Baseline demographics and cardiovascular risk factors for the clusters</w:t>
      </w:r>
    </w:p>
    <w:p w14:paraId="5AB08A95" w14:textId="77777777" w:rsidR="00B63171" w:rsidRPr="00B63171" w:rsidRDefault="00B63171" w:rsidP="00B63171"/>
    <w:tbl>
      <w:tblPr>
        <w:tblStyle w:val="TableGrid"/>
        <w:tblW w:w="9124" w:type="dxa"/>
        <w:tblInd w:w="-5" w:type="dxa"/>
        <w:tblLook w:val="04A0" w:firstRow="1" w:lastRow="0" w:firstColumn="1" w:lastColumn="0" w:noHBand="0" w:noVBand="1"/>
      </w:tblPr>
      <w:tblGrid>
        <w:gridCol w:w="2463"/>
        <w:gridCol w:w="1690"/>
        <w:gridCol w:w="1706"/>
        <w:gridCol w:w="1759"/>
        <w:gridCol w:w="1506"/>
      </w:tblGrid>
      <w:tr w:rsidR="00A94AE8" w:rsidRPr="009C0D43" w14:paraId="695D1AC0" w14:textId="77777777" w:rsidTr="009D0AB1">
        <w:trPr>
          <w:trHeight w:val="488"/>
        </w:trPr>
        <w:tc>
          <w:tcPr>
            <w:tcW w:w="2463" w:type="dxa"/>
            <w:shd w:val="clear" w:color="auto" w:fill="E7E6E6" w:themeFill="background2"/>
          </w:tcPr>
          <w:p w14:paraId="745FDAD6" w14:textId="77777777" w:rsidR="00A94AE8" w:rsidRPr="009C0D43" w:rsidRDefault="00A94AE8" w:rsidP="009D0AB1">
            <w:pPr>
              <w:spacing w:before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Variable</w:t>
            </w:r>
          </w:p>
        </w:tc>
        <w:tc>
          <w:tcPr>
            <w:tcW w:w="1690" w:type="dxa"/>
            <w:tcBorders>
              <w:left w:val="single" w:sz="24" w:space="0" w:color="auto"/>
            </w:tcBorders>
            <w:shd w:val="clear" w:color="auto" w:fill="E7E6E6" w:themeFill="background2"/>
          </w:tcPr>
          <w:p w14:paraId="1C5B2A9F" w14:textId="77777777" w:rsidR="00A94AE8" w:rsidRPr="009C0D43" w:rsidRDefault="00A94AE8" w:rsidP="009D0AB1">
            <w:pPr>
              <w:spacing w:before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Cluster I</w:t>
            </w:r>
          </w:p>
        </w:tc>
        <w:tc>
          <w:tcPr>
            <w:tcW w:w="1706" w:type="dxa"/>
            <w:shd w:val="clear" w:color="auto" w:fill="E7E6E6" w:themeFill="background2"/>
          </w:tcPr>
          <w:p w14:paraId="707ED85F" w14:textId="77777777" w:rsidR="00A94AE8" w:rsidRPr="009C0D43" w:rsidRDefault="00A94AE8" w:rsidP="009D0AB1">
            <w:pPr>
              <w:spacing w:before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Cluster II</w:t>
            </w:r>
          </w:p>
        </w:tc>
        <w:tc>
          <w:tcPr>
            <w:tcW w:w="1759" w:type="dxa"/>
            <w:shd w:val="clear" w:color="auto" w:fill="E7E6E6" w:themeFill="background2"/>
          </w:tcPr>
          <w:p w14:paraId="4D3FA0B5" w14:textId="77777777" w:rsidR="00A94AE8" w:rsidRPr="009C0D43" w:rsidRDefault="00A94AE8" w:rsidP="009D0AB1">
            <w:pPr>
              <w:spacing w:before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Cluster III</w:t>
            </w:r>
          </w:p>
        </w:tc>
        <w:tc>
          <w:tcPr>
            <w:tcW w:w="1506" w:type="dxa"/>
            <w:shd w:val="clear" w:color="auto" w:fill="E7E6E6" w:themeFill="background2"/>
          </w:tcPr>
          <w:p w14:paraId="1D0524AF" w14:textId="77777777" w:rsidR="00A94AE8" w:rsidRPr="009C0D43" w:rsidRDefault="00A94AE8" w:rsidP="009D0AB1">
            <w:pPr>
              <w:spacing w:before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p-value</w:t>
            </w:r>
          </w:p>
        </w:tc>
      </w:tr>
      <w:tr w:rsidR="00A94AE8" w:rsidRPr="009C0D43" w14:paraId="5756E73C" w14:textId="77777777" w:rsidTr="009D0AB1">
        <w:trPr>
          <w:trHeight w:val="254"/>
        </w:trPr>
        <w:tc>
          <w:tcPr>
            <w:tcW w:w="2463" w:type="dxa"/>
          </w:tcPr>
          <w:p w14:paraId="33D81509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Participants N=339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03ABD99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N= 115 (33.9%)</w:t>
            </w:r>
          </w:p>
        </w:tc>
        <w:tc>
          <w:tcPr>
            <w:tcW w:w="1706" w:type="dxa"/>
          </w:tcPr>
          <w:p w14:paraId="72C6DE66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N= 138 (40.7%)</w:t>
            </w:r>
          </w:p>
        </w:tc>
        <w:tc>
          <w:tcPr>
            <w:tcW w:w="1759" w:type="dxa"/>
          </w:tcPr>
          <w:p w14:paraId="524EF4E0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N= 86 (25.4%)</w:t>
            </w:r>
          </w:p>
        </w:tc>
        <w:tc>
          <w:tcPr>
            <w:tcW w:w="1506" w:type="dxa"/>
          </w:tcPr>
          <w:p w14:paraId="3A151F19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A94AE8" w:rsidRPr="009C0D43" w14:paraId="30D7999E" w14:textId="77777777" w:rsidTr="009D0AB1">
        <w:trPr>
          <w:trHeight w:val="244"/>
        </w:trPr>
        <w:tc>
          <w:tcPr>
            <w:tcW w:w="2463" w:type="dxa"/>
          </w:tcPr>
          <w:p w14:paraId="3BF1CAE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bookmarkStart w:id="1" w:name="_Hlk111993110"/>
            <w:r w:rsidRPr="009C0D43">
              <w:rPr>
                <w:rFonts w:cs="Arial"/>
                <w:sz w:val="24"/>
                <w:szCs w:val="24"/>
              </w:rPr>
              <w:t xml:space="preserve">Mean age, </w:t>
            </w:r>
            <w:proofErr w:type="spellStart"/>
            <w:r w:rsidRPr="009C0D43">
              <w:rPr>
                <w:rFonts w:cs="Arial"/>
                <w:sz w:val="24"/>
                <w:szCs w:val="24"/>
              </w:rPr>
              <w:t>years±SD</w:t>
            </w:r>
            <w:proofErr w:type="spellEnd"/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4600EAA9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57.6 ± 9.4</w:t>
            </w:r>
          </w:p>
        </w:tc>
        <w:tc>
          <w:tcPr>
            <w:tcW w:w="1706" w:type="dxa"/>
          </w:tcPr>
          <w:p w14:paraId="2C3735D4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56.0 ± 9.5</w:t>
            </w:r>
          </w:p>
        </w:tc>
        <w:tc>
          <w:tcPr>
            <w:tcW w:w="1759" w:type="dxa"/>
          </w:tcPr>
          <w:p w14:paraId="5D18D716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54.8 ± 8.1</w:t>
            </w:r>
          </w:p>
        </w:tc>
        <w:tc>
          <w:tcPr>
            <w:tcW w:w="1506" w:type="dxa"/>
          </w:tcPr>
          <w:p w14:paraId="1D00555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0.089</w:t>
            </w:r>
          </w:p>
        </w:tc>
      </w:tr>
      <w:tr w:rsidR="00A94AE8" w:rsidRPr="009C0D43" w14:paraId="2D3E4ECF" w14:textId="77777777" w:rsidTr="009D0AB1">
        <w:trPr>
          <w:trHeight w:val="244"/>
        </w:trPr>
        <w:tc>
          <w:tcPr>
            <w:tcW w:w="2463" w:type="dxa"/>
          </w:tcPr>
          <w:p w14:paraId="5A2D0B27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Male sex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0D11BF52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35 (30.4%)</w:t>
            </w:r>
          </w:p>
        </w:tc>
        <w:tc>
          <w:tcPr>
            <w:tcW w:w="1706" w:type="dxa"/>
          </w:tcPr>
          <w:p w14:paraId="7CE572B2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89 (64.5%)</w:t>
            </w:r>
          </w:p>
        </w:tc>
        <w:tc>
          <w:tcPr>
            <w:tcW w:w="1759" w:type="dxa"/>
          </w:tcPr>
          <w:p w14:paraId="096E029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73 (84.9%)</w:t>
            </w:r>
          </w:p>
        </w:tc>
        <w:tc>
          <w:tcPr>
            <w:tcW w:w="1506" w:type="dxa"/>
          </w:tcPr>
          <w:p w14:paraId="5C65175E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&lt;0.001</w:t>
            </w:r>
          </w:p>
        </w:tc>
      </w:tr>
      <w:tr w:rsidR="00A94AE8" w:rsidRPr="009C0D43" w14:paraId="4A6932D4" w14:textId="77777777" w:rsidTr="009D0AB1">
        <w:trPr>
          <w:trHeight w:val="244"/>
        </w:trPr>
        <w:tc>
          <w:tcPr>
            <w:tcW w:w="2463" w:type="dxa"/>
          </w:tcPr>
          <w:p w14:paraId="4A6236FC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BMI, kg/m²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34E44EF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26.7 ± 4.8</w:t>
            </w:r>
          </w:p>
        </w:tc>
        <w:tc>
          <w:tcPr>
            <w:tcW w:w="1706" w:type="dxa"/>
          </w:tcPr>
          <w:p w14:paraId="35B554E2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27.6 ± 3.7</w:t>
            </w:r>
          </w:p>
        </w:tc>
        <w:tc>
          <w:tcPr>
            <w:tcW w:w="1759" w:type="dxa"/>
          </w:tcPr>
          <w:p w14:paraId="08863A12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30.8 ± 4.9</w:t>
            </w:r>
          </w:p>
        </w:tc>
        <w:tc>
          <w:tcPr>
            <w:tcW w:w="1506" w:type="dxa"/>
          </w:tcPr>
          <w:p w14:paraId="206E817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&lt;0.001</w:t>
            </w:r>
          </w:p>
        </w:tc>
      </w:tr>
      <w:tr w:rsidR="00A94AE8" w:rsidRPr="009C0D43" w14:paraId="33799A3B" w14:textId="77777777" w:rsidTr="009D0AB1">
        <w:trPr>
          <w:trHeight w:val="331"/>
        </w:trPr>
        <w:tc>
          <w:tcPr>
            <w:tcW w:w="2463" w:type="dxa"/>
          </w:tcPr>
          <w:p w14:paraId="40CFDA3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Hypertension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00F42D3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28 (24.3%)</w:t>
            </w:r>
          </w:p>
        </w:tc>
        <w:tc>
          <w:tcPr>
            <w:tcW w:w="1706" w:type="dxa"/>
          </w:tcPr>
          <w:p w14:paraId="3277E67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45 (32.6%)</w:t>
            </w:r>
          </w:p>
        </w:tc>
        <w:tc>
          <w:tcPr>
            <w:tcW w:w="1759" w:type="dxa"/>
          </w:tcPr>
          <w:p w14:paraId="3CD0EEEC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39 (45.3%)</w:t>
            </w:r>
          </w:p>
        </w:tc>
        <w:tc>
          <w:tcPr>
            <w:tcW w:w="1506" w:type="dxa"/>
          </w:tcPr>
          <w:p w14:paraId="366A9F9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0.007</w:t>
            </w:r>
          </w:p>
        </w:tc>
      </w:tr>
      <w:tr w:rsidR="00A94AE8" w:rsidRPr="009C0D43" w14:paraId="5F5FAD62" w14:textId="77777777" w:rsidTr="009D0AB1">
        <w:trPr>
          <w:trHeight w:val="385"/>
        </w:trPr>
        <w:tc>
          <w:tcPr>
            <w:tcW w:w="2463" w:type="dxa"/>
          </w:tcPr>
          <w:p w14:paraId="5B1EA79E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Normoglycemia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42113E9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87 (75.7%)</w:t>
            </w:r>
          </w:p>
        </w:tc>
        <w:tc>
          <w:tcPr>
            <w:tcW w:w="1706" w:type="dxa"/>
          </w:tcPr>
          <w:p w14:paraId="2A9B6A7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87 (63.0%)</w:t>
            </w:r>
          </w:p>
        </w:tc>
        <w:tc>
          <w:tcPr>
            <w:tcW w:w="1759" w:type="dxa"/>
          </w:tcPr>
          <w:p w14:paraId="275147B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40 (46.5)</w:t>
            </w:r>
          </w:p>
        </w:tc>
        <w:tc>
          <w:tcPr>
            <w:tcW w:w="1506" w:type="dxa"/>
            <w:vMerge w:val="restart"/>
          </w:tcPr>
          <w:p w14:paraId="7439903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  <w:highlight w:val="yellow"/>
              </w:rPr>
            </w:pPr>
            <w:r w:rsidRPr="00F34492">
              <w:rPr>
                <w:rFonts w:cs="Arial"/>
                <w:sz w:val="24"/>
                <w:szCs w:val="24"/>
              </w:rPr>
              <w:t>&lt;0.001</w:t>
            </w:r>
          </w:p>
        </w:tc>
      </w:tr>
      <w:tr w:rsidR="00A94AE8" w:rsidRPr="009C0D43" w14:paraId="0249CB47" w14:textId="77777777" w:rsidTr="009D0AB1">
        <w:trPr>
          <w:trHeight w:val="385"/>
        </w:trPr>
        <w:tc>
          <w:tcPr>
            <w:tcW w:w="2463" w:type="dxa"/>
          </w:tcPr>
          <w:p w14:paraId="748B630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Prediabetes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226359B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21 (18.3)</w:t>
            </w:r>
          </w:p>
        </w:tc>
        <w:tc>
          <w:tcPr>
            <w:tcW w:w="1706" w:type="dxa"/>
          </w:tcPr>
          <w:p w14:paraId="587493D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34 (24.6%)</w:t>
            </w:r>
          </w:p>
        </w:tc>
        <w:tc>
          <w:tcPr>
            <w:tcW w:w="1759" w:type="dxa"/>
          </w:tcPr>
          <w:p w14:paraId="0B59B12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24 (27.9%)</w:t>
            </w:r>
          </w:p>
        </w:tc>
        <w:tc>
          <w:tcPr>
            <w:tcW w:w="1506" w:type="dxa"/>
            <w:vMerge/>
          </w:tcPr>
          <w:p w14:paraId="0AEEB2B0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  <w:highlight w:val="yellow"/>
              </w:rPr>
            </w:pPr>
          </w:p>
        </w:tc>
      </w:tr>
      <w:tr w:rsidR="00A94AE8" w:rsidRPr="009C0D43" w14:paraId="1584924B" w14:textId="77777777" w:rsidTr="009D0AB1">
        <w:trPr>
          <w:trHeight w:val="385"/>
        </w:trPr>
        <w:tc>
          <w:tcPr>
            <w:tcW w:w="2463" w:type="dxa"/>
          </w:tcPr>
          <w:p w14:paraId="6408254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 xml:space="preserve">Diabetes 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278A0CE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7 (6.1%)</w:t>
            </w:r>
          </w:p>
        </w:tc>
        <w:tc>
          <w:tcPr>
            <w:tcW w:w="1706" w:type="dxa"/>
          </w:tcPr>
          <w:p w14:paraId="761CCB2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17 (12.3%)</w:t>
            </w:r>
          </w:p>
        </w:tc>
        <w:tc>
          <w:tcPr>
            <w:tcW w:w="1759" w:type="dxa"/>
          </w:tcPr>
          <w:p w14:paraId="49ABB3CC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22 (25.6%)</w:t>
            </w:r>
          </w:p>
        </w:tc>
        <w:tc>
          <w:tcPr>
            <w:tcW w:w="1506" w:type="dxa"/>
            <w:vMerge/>
          </w:tcPr>
          <w:p w14:paraId="5B1D7E56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  <w:highlight w:val="yellow"/>
              </w:rPr>
            </w:pPr>
          </w:p>
        </w:tc>
      </w:tr>
      <w:tr w:rsidR="00A94AE8" w:rsidRPr="009C0D43" w14:paraId="5FA80464" w14:textId="77777777" w:rsidTr="009D0AB1">
        <w:trPr>
          <w:trHeight w:val="498"/>
        </w:trPr>
        <w:tc>
          <w:tcPr>
            <w:tcW w:w="2463" w:type="dxa"/>
          </w:tcPr>
          <w:p w14:paraId="19ED140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HbA1c, %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3726F12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5.5 ± 0.5</w:t>
            </w:r>
          </w:p>
        </w:tc>
        <w:tc>
          <w:tcPr>
            <w:tcW w:w="1706" w:type="dxa"/>
          </w:tcPr>
          <w:p w14:paraId="6BFECC2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5.5 ± 0.9</w:t>
            </w:r>
          </w:p>
        </w:tc>
        <w:tc>
          <w:tcPr>
            <w:tcW w:w="1759" w:type="dxa"/>
          </w:tcPr>
          <w:p w14:paraId="28EB8DC0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5.7 ± 0.8</w:t>
            </w:r>
          </w:p>
        </w:tc>
        <w:tc>
          <w:tcPr>
            <w:tcW w:w="1506" w:type="dxa"/>
          </w:tcPr>
          <w:p w14:paraId="6FA9C99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0.079</w:t>
            </w:r>
          </w:p>
        </w:tc>
      </w:tr>
      <w:tr w:rsidR="00A94AE8" w:rsidRPr="009C0D43" w14:paraId="53C2F80F" w14:textId="77777777" w:rsidTr="009D0AB1">
        <w:trPr>
          <w:trHeight w:val="498"/>
        </w:trPr>
        <w:tc>
          <w:tcPr>
            <w:tcW w:w="2463" w:type="dxa"/>
          </w:tcPr>
          <w:p w14:paraId="4BBD5C73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Total Cholesterol, mg/dL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3A9085B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226.5 ± 37.2</w:t>
            </w:r>
          </w:p>
        </w:tc>
        <w:tc>
          <w:tcPr>
            <w:tcW w:w="1706" w:type="dxa"/>
          </w:tcPr>
          <w:p w14:paraId="556774F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215.1 ± 34.3</w:t>
            </w:r>
          </w:p>
        </w:tc>
        <w:tc>
          <w:tcPr>
            <w:tcW w:w="1759" w:type="dxa"/>
          </w:tcPr>
          <w:p w14:paraId="7CFEB7E9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214.4 ± 40.6</w:t>
            </w:r>
          </w:p>
        </w:tc>
        <w:tc>
          <w:tcPr>
            <w:tcW w:w="1506" w:type="dxa"/>
          </w:tcPr>
          <w:p w14:paraId="52E26ED6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0.023</w:t>
            </w:r>
          </w:p>
        </w:tc>
      </w:tr>
      <w:tr w:rsidR="00A94AE8" w:rsidRPr="009C0D43" w14:paraId="4D7113BA" w14:textId="77777777" w:rsidTr="009D0AB1">
        <w:trPr>
          <w:trHeight w:val="244"/>
        </w:trPr>
        <w:tc>
          <w:tcPr>
            <w:tcW w:w="2463" w:type="dxa"/>
          </w:tcPr>
          <w:p w14:paraId="79B33C00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LDL-C, mg/dL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6C11C30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144.3 ± 35.8</w:t>
            </w:r>
          </w:p>
        </w:tc>
        <w:tc>
          <w:tcPr>
            <w:tcW w:w="1706" w:type="dxa"/>
          </w:tcPr>
          <w:p w14:paraId="0075086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138.7 ± 30.1</w:t>
            </w:r>
          </w:p>
        </w:tc>
        <w:tc>
          <w:tcPr>
            <w:tcW w:w="1759" w:type="dxa"/>
          </w:tcPr>
          <w:p w14:paraId="24D0AEF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138.7 ± 36.7</w:t>
            </w:r>
          </w:p>
        </w:tc>
        <w:tc>
          <w:tcPr>
            <w:tcW w:w="1506" w:type="dxa"/>
          </w:tcPr>
          <w:p w14:paraId="74D5E9A3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0.0349</w:t>
            </w:r>
          </w:p>
        </w:tc>
      </w:tr>
      <w:tr w:rsidR="00A94AE8" w:rsidRPr="009C0D43" w14:paraId="3536C127" w14:textId="77777777" w:rsidTr="009D0AB1">
        <w:trPr>
          <w:trHeight w:val="244"/>
        </w:trPr>
        <w:tc>
          <w:tcPr>
            <w:tcW w:w="2463" w:type="dxa"/>
          </w:tcPr>
          <w:p w14:paraId="060EB26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Triglycerides, mg/dL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7CDE8EC6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104.1 ± 52.0</w:t>
            </w:r>
          </w:p>
        </w:tc>
        <w:tc>
          <w:tcPr>
            <w:tcW w:w="1706" w:type="dxa"/>
          </w:tcPr>
          <w:p w14:paraId="01184A14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122.5 ± 74.5</w:t>
            </w:r>
          </w:p>
        </w:tc>
        <w:tc>
          <w:tcPr>
            <w:tcW w:w="1759" w:type="dxa"/>
          </w:tcPr>
          <w:p w14:paraId="1BDE9664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180.4 ± 114.3</w:t>
            </w:r>
          </w:p>
        </w:tc>
        <w:tc>
          <w:tcPr>
            <w:tcW w:w="1506" w:type="dxa"/>
          </w:tcPr>
          <w:p w14:paraId="453C4BD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&lt;0.001</w:t>
            </w:r>
          </w:p>
        </w:tc>
      </w:tr>
      <w:tr w:rsidR="00A94AE8" w:rsidRPr="009C0D43" w14:paraId="03B4B8A3" w14:textId="77777777" w:rsidTr="009D0AB1">
        <w:trPr>
          <w:trHeight w:val="244"/>
        </w:trPr>
        <w:tc>
          <w:tcPr>
            <w:tcW w:w="2463" w:type="dxa"/>
          </w:tcPr>
          <w:p w14:paraId="109CB3F6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Hepatic Steatosis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66B0A01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43 (37.4%)</w:t>
            </w:r>
          </w:p>
        </w:tc>
        <w:tc>
          <w:tcPr>
            <w:tcW w:w="1706" w:type="dxa"/>
          </w:tcPr>
          <w:p w14:paraId="20FA3CE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69 (50.0%)</w:t>
            </w:r>
          </w:p>
        </w:tc>
        <w:tc>
          <w:tcPr>
            <w:tcW w:w="1759" w:type="dxa"/>
          </w:tcPr>
          <w:p w14:paraId="3AFFBD7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76 (88.4%)</w:t>
            </w:r>
          </w:p>
        </w:tc>
        <w:tc>
          <w:tcPr>
            <w:tcW w:w="1506" w:type="dxa"/>
          </w:tcPr>
          <w:p w14:paraId="0013692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&lt;0.001</w:t>
            </w:r>
          </w:p>
        </w:tc>
      </w:tr>
      <w:tr w:rsidR="00A94AE8" w:rsidRPr="009C0D43" w14:paraId="5AB21821" w14:textId="77777777" w:rsidTr="009D0AB1">
        <w:trPr>
          <w:trHeight w:val="244"/>
        </w:trPr>
        <w:tc>
          <w:tcPr>
            <w:tcW w:w="2463" w:type="dxa"/>
          </w:tcPr>
          <w:p w14:paraId="471BE7A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 xml:space="preserve">Alcohol consumption, g/day 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1493FAF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13.5 ±18.0</w:t>
            </w:r>
          </w:p>
        </w:tc>
        <w:tc>
          <w:tcPr>
            <w:tcW w:w="1706" w:type="dxa"/>
          </w:tcPr>
          <w:p w14:paraId="0C10781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17.7 ± 21.0</w:t>
            </w:r>
          </w:p>
        </w:tc>
        <w:tc>
          <w:tcPr>
            <w:tcW w:w="1759" w:type="dxa"/>
          </w:tcPr>
          <w:p w14:paraId="6EDB6BA2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28.0 ± 32.8</w:t>
            </w:r>
          </w:p>
        </w:tc>
        <w:tc>
          <w:tcPr>
            <w:tcW w:w="1506" w:type="dxa"/>
          </w:tcPr>
          <w:p w14:paraId="72BD13E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&lt;0.001</w:t>
            </w:r>
          </w:p>
        </w:tc>
      </w:tr>
      <w:tr w:rsidR="00A94AE8" w:rsidRPr="009C0D43" w14:paraId="4F46D95A" w14:textId="77777777" w:rsidTr="009D0AB1">
        <w:trPr>
          <w:trHeight w:val="244"/>
        </w:trPr>
        <w:tc>
          <w:tcPr>
            <w:tcW w:w="2463" w:type="dxa"/>
          </w:tcPr>
          <w:p w14:paraId="7D548A45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Never smoker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2F496291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50 (43.5%)</w:t>
            </w:r>
          </w:p>
        </w:tc>
        <w:tc>
          <w:tcPr>
            <w:tcW w:w="1706" w:type="dxa"/>
          </w:tcPr>
          <w:p w14:paraId="2D5724E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51 (37.0%)</w:t>
            </w:r>
          </w:p>
        </w:tc>
        <w:tc>
          <w:tcPr>
            <w:tcW w:w="1759" w:type="dxa"/>
          </w:tcPr>
          <w:p w14:paraId="0330602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21 (24.4%)</w:t>
            </w:r>
          </w:p>
        </w:tc>
        <w:tc>
          <w:tcPr>
            <w:tcW w:w="1506" w:type="dxa"/>
            <w:vMerge w:val="restart"/>
          </w:tcPr>
          <w:p w14:paraId="71E69482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0.085</w:t>
            </w:r>
          </w:p>
          <w:p w14:paraId="35DC2A3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 xml:space="preserve">       </w:t>
            </w:r>
          </w:p>
          <w:p w14:paraId="5A4CCC4F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 xml:space="preserve">       </w:t>
            </w:r>
          </w:p>
        </w:tc>
      </w:tr>
      <w:tr w:rsidR="00A94AE8" w:rsidRPr="009C0D43" w14:paraId="62813BE0" w14:textId="77777777" w:rsidTr="009D0AB1">
        <w:trPr>
          <w:trHeight w:val="244"/>
        </w:trPr>
        <w:tc>
          <w:tcPr>
            <w:tcW w:w="2463" w:type="dxa"/>
          </w:tcPr>
          <w:p w14:paraId="6C0D25B0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Ex-smoker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4F6BC287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43 (37.4%)</w:t>
            </w:r>
          </w:p>
        </w:tc>
        <w:tc>
          <w:tcPr>
            <w:tcW w:w="1706" w:type="dxa"/>
          </w:tcPr>
          <w:p w14:paraId="74129CF7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60 (43.5%)</w:t>
            </w:r>
          </w:p>
        </w:tc>
        <w:tc>
          <w:tcPr>
            <w:tcW w:w="1759" w:type="dxa"/>
          </w:tcPr>
          <w:p w14:paraId="091CAD77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46 (53.5%)</w:t>
            </w:r>
          </w:p>
        </w:tc>
        <w:tc>
          <w:tcPr>
            <w:tcW w:w="1506" w:type="dxa"/>
            <w:vMerge/>
          </w:tcPr>
          <w:p w14:paraId="2C3759EA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</w:p>
        </w:tc>
      </w:tr>
      <w:tr w:rsidR="00A94AE8" w:rsidRPr="009C0D43" w14:paraId="6AC3CC53" w14:textId="77777777" w:rsidTr="009D0AB1">
        <w:trPr>
          <w:trHeight w:val="244"/>
        </w:trPr>
        <w:tc>
          <w:tcPr>
            <w:tcW w:w="2463" w:type="dxa"/>
          </w:tcPr>
          <w:p w14:paraId="12E2E05C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Smoker</w:t>
            </w:r>
          </w:p>
        </w:tc>
        <w:tc>
          <w:tcPr>
            <w:tcW w:w="1690" w:type="dxa"/>
            <w:tcBorders>
              <w:left w:val="single" w:sz="24" w:space="0" w:color="auto"/>
            </w:tcBorders>
          </w:tcPr>
          <w:p w14:paraId="24C5F70D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22 (19.1%)</w:t>
            </w:r>
          </w:p>
        </w:tc>
        <w:tc>
          <w:tcPr>
            <w:tcW w:w="1706" w:type="dxa"/>
          </w:tcPr>
          <w:p w14:paraId="59A36817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27 (19.6%)</w:t>
            </w:r>
          </w:p>
        </w:tc>
        <w:tc>
          <w:tcPr>
            <w:tcW w:w="1759" w:type="dxa"/>
          </w:tcPr>
          <w:p w14:paraId="6CDD274C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  <w:r w:rsidRPr="009C0D43">
              <w:rPr>
                <w:rFonts w:cs="Arial"/>
                <w:sz w:val="24"/>
                <w:szCs w:val="24"/>
              </w:rPr>
              <w:t>19 (22.1%)</w:t>
            </w:r>
          </w:p>
        </w:tc>
        <w:tc>
          <w:tcPr>
            <w:tcW w:w="1506" w:type="dxa"/>
            <w:vMerge/>
          </w:tcPr>
          <w:p w14:paraId="7B3992DB" w14:textId="77777777" w:rsidR="00A94AE8" w:rsidRPr="009C0D43" w:rsidRDefault="00A94AE8" w:rsidP="009D0AB1">
            <w:pPr>
              <w:spacing w:after="120"/>
              <w:rPr>
                <w:rFonts w:cs="Arial"/>
                <w:sz w:val="24"/>
                <w:szCs w:val="24"/>
              </w:rPr>
            </w:pPr>
          </w:p>
        </w:tc>
      </w:tr>
    </w:tbl>
    <w:bookmarkEnd w:id="1"/>
    <w:p w14:paraId="7482743A" w14:textId="77777777" w:rsidR="00A94AE8" w:rsidRPr="00A94AE8" w:rsidRDefault="00A94AE8" w:rsidP="00A94AE8">
      <w:pPr>
        <w:rPr>
          <w:sz w:val="20"/>
          <w:szCs w:val="20"/>
        </w:rPr>
      </w:pPr>
      <w:r w:rsidRPr="00A94AE8">
        <w:rPr>
          <w:sz w:val="20"/>
          <w:szCs w:val="20"/>
        </w:rPr>
        <w:t>Values are given as arithmetic mean ± standard deviation for continuous variables, unless indicated otherwise. Categorical data are given as counts (percentage). P-values from one-way ANOVA, Kruskal-Wallis Test or χ2-Test, where appropriate. BMI=Body Mass Index; HbA1c=Glycated Haemoglobin; LDL=Low Density Lipoprotein</w:t>
      </w:r>
    </w:p>
    <w:p w14:paraId="155C6C38" w14:textId="165D0520" w:rsidR="009C0D43" w:rsidRPr="00B63171" w:rsidRDefault="009C0D43" w:rsidP="00C64C82">
      <w:pPr>
        <w:rPr>
          <w:rFonts w:cs="Arial"/>
          <w:color w:val="000000" w:themeColor="text1"/>
          <w:sz w:val="24"/>
          <w:szCs w:val="24"/>
        </w:rPr>
      </w:pPr>
    </w:p>
    <w:p w14:paraId="28C5EE60" w14:textId="77777777" w:rsidR="009C0D43" w:rsidRPr="009C0D43" w:rsidRDefault="009C0D43" w:rsidP="00C64C82">
      <w:pPr>
        <w:rPr>
          <w:rFonts w:cs="Arial"/>
          <w:sz w:val="24"/>
          <w:szCs w:val="24"/>
        </w:rPr>
      </w:pPr>
    </w:p>
    <w:p w14:paraId="769B85E3" w14:textId="77777777" w:rsidR="001F1DF9" w:rsidRPr="009C0D43" w:rsidRDefault="001F1DF9" w:rsidP="001F1DF9">
      <w:pPr>
        <w:tabs>
          <w:tab w:val="left" w:pos="4863"/>
        </w:tabs>
        <w:rPr>
          <w:rFonts w:cs="Arial"/>
          <w:sz w:val="24"/>
          <w:szCs w:val="24"/>
        </w:rPr>
      </w:pPr>
    </w:p>
    <w:sectPr w:rsidR="001F1DF9" w:rsidRPr="009C0D43" w:rsidSect="002625AF"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E130F" w14:textId="77777777" w:rsidR="008139AF" w:rsidRDefault="008139AF" w:rsidP="00F91E78">
      <w:pPr>
        <w:spacing w:after="0" w:line="240" w:lineRule="auto"/>
      </w:pPr>
      <w:r>
        <w:separator/>
      </w:r>
    </w:p>
  </w:endnote>
  <w:endnote w:type="continuationSeparator" w:id="0">
    <w:p w14:paraId="7C24B5EE" w14:textId="77777777" w:rsidR="008139AF" w:rsidRDefault="008139AF" w:rsidP="00F9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A1C5D" w14:textId="77777777" w:rsidR="00F91E78" w:rsidRDefault="00F91E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7EE9C" w14:textId="77777777" w:rsidR="008139AF" w:rsidRDefault="008139AF" w:rsidP="00F91E78">
      <w:pPr>
        <w:spacing w:after="0" w:line="240" w:lineRule="auto"/>
      </w:pPr>
      <w:r>
        <w:separator/>
      </w:r>
    </w:p>
  </w:footnote>
  <w:footnote w:type="continuationSeparator" w:id="0">
    <w:p w14:paraId="03C103DB" w14:textId="77777777" w:rsidR="008139AF" w:rsidRDefault="008139AF" w:rsidP="00F91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2B"/>
    <w:rsid w:val="00000B70"/>
    <w:rsid w:val="000202CF"/>
    <w:rsid w:val="000261C0"/>
    <w:rsid w:val="00045D2D"/>
    <w:rsid w:val="000C770A"/>
    <w:rsid w:val="000F6294"/>
    <w:rsid w:val="00152ED6"/>
    <w:rsid w:val="00167F37"/>
    <w:rsid w:val="00184738"/>
    <w:rsid w:val="001966B1"/>
    <w:rsid w:val="001B6A03"/>
    <w:rsid w:val="001F1DF9"/>
    <w:rsid w:val="002625AF"/>
    <w:rsid w:val="00273848"/>
    <w:rsid w:val="0027532B"/>
    <w:rsid w:val="0028789D"/>
    <w:rsid w:val="00297FBE"/>
    <w:rsid w:val="002D10D9"/>
    <w:rsid w:val="002D1B24"/>
    <w:rsid w:val="002D5D96"/>
    <w:rsid w:val="00346FBC"/>
    <w:rsid w:val="0034757A"/>
    <w:rsid w:val="00393F2B"/>
    <w:rsid w:val="003959B6"/>
    <w:rsid w:val="003C32D6"/>
    <w:rsid w:val="003C74E2"/>
    <w:rsid w:val="003F5BC4"/>
    <w:rsid w:val="004D5FFC"/>
    <w:rsid w:val="005453BF"/>
    <w:rsid w:val="005613B1"/>
    <w:rsid w:val="00566700"/>
    <w:rsid w:val="005844B5"/>
    <w:rsid w:val="00593264"/>
    <w:rsid w:val="005B54B9"/>
    <w:rsid w:val="005B7180"/>
    <w:rsid w:val="005E69A8"/>
    <w:rsid w:val="0069375C"/>
    <w:rsid w:val="006A341D"/>
    <w:rsid w:val="006A657B"/>
    <w:rsid w:val="006B728E"/>
    <w:rsid w:val="006C627A"/>
    <w:rsid w:val="006D575A"/>
    <w:rsid w:val="006E0719"/>
    <w:rsid w:val="0075194D"/>
    <w:rsid w:val="00762264"/>
    <w:rsid w:val="007C20E6"/>
    <w:rsid w:val="008139AF"/>
    <w:rsid w:val="008200BE"/>
    <w:rsid w:val="00844883"/>
    <w:rsid w:val="008A05D7"/>
    <w:rsid w:val="008A624B"/>
    <w:rsid w:val="00940470"/>
    <w:rsid w:val="00960751"/>
    <w:rsid w:val="00974268"/>
    <w:rsid w:val="009770B5"/>
    <w:rsid w:val="009C0D43"/>
    <w:rsid w:val="009C214E"/>
    <w:rsid w:val="00A015FC"/>
    <w:rsid w:val="00A249AE"/>
    <w:rsid w:val="00A42EFC"/>
    <w:rsid w:val="00A8437F"/>
    <w:rsid w:val="00A94AE8"/>
    <w:rsid w:val="00A96BE1"/>
    <w:rsid w:val="00AE7337"/>
    <w:rsid w:val="00B00853"/>
    <w:rsid w:val="00B27E9C"/>
    <w:rsid w:val="00B63171"/>
    <w:rsid w:val="00B87371"/>
    <w:rsid w:val="00BF5AE3"/>
    <w:rsid w:val="00C050AA"/>
    <w:rsid w:val="00C3345C"/>
    <w:rsid w:val="00C52748"/>
    <w:rsid w:val="00C62BD8"/>
    <w:rsid w:val="00C64C82"/>
    <w:rsid w:val="00C77EE1"/>
    <w:rsid w:val="00CD0FE1"/>
    <w:rsid w:val="00CD2FBD"/>
    <w:rsid w:val="00D608A9"/>
    <w:rsid w:val="00D83D66"/>
    <w:rsid w:val="00D96A65"/>
    <w:rsid w:val="00D97BF0"/>
    <w:rsid w:val="00E036A8"/>
    <w:rsid w:val="00E0495E"/>
    <w:rsid w:val="00E525E7"/>
    <w:rsid w:val="00E91527"/>
    <w:rsid w:val="00E9544A"/>
    <w:rsid w:val="00ED137E"/>
    <w:rsid w:val="00F34492"/>
    <w:rsid w:val="00F56972"/>
    <w:rsid w:val="00F91E78"/>
    <w:rsid w:val="00FE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3E387"/>
  <w15:chartTrackingRefBased/>
  <w15:docId w15:val="{C107C5E8-DADC-4F80-9825-C732F67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F2B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3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9742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1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E7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91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E78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C74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4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4E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4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4E2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70B5"/>
    <w:pPr>
      <w:spacing w:after="0" w:line="240" w:lineRule="auto"/>
    </w:pPr>
    <w:rPr>
      <w:rFonts w:ascii="Arial" w:hAnsi="Arial"/>
    </w:rPr>
  </w:style>
  <w:style w:type="paragraph" w:styleId="Bibliography">
    <w:name w:val="Bibliography"/>
    <w:basedOn w:val="Normal"/>
    <w:next w:val="Normal"/>
    <w:uiPriority w:val="37"/>
    <w:unhideWhenUsed/>
    <w:rsid w:val="00AE7337"/>
    <w:pPr>
      <w:tabs>
        <w:tab w:val="left" w:pos="264"/>
      </w:tabs>
      <w:spacing w:after="24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B72E-A839-45BA-9CEA-4B0A7636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JIGME    MICHEL</dc:creator>
  <cp:keywords/>
  <dc:description/>
  <cp:lastModifiedBy>Oliver</cp:lastModifiedBy>
  <cp:revision>7</cp:revision>
  <cp:lastPrinted>2023-05-23T10:16:00Z</cp:lastPrinted>
  <dcterms:created xsi:type="dcterms:W3CDTF">2023-05-23T10:16:00Z</dcterms:created>
  <dcterms:modified xsi:type="dcterms:W3CDTF">2023-12-13T09:58:00Z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zotero-version="6.0.12"&gt;&lt;session id="nkBofXZB"/&gt;&lt;style id="http://www.zotero.org/styles/vancouver" locale="en-US" hasBibliography="1" bibliographyStyleHasBeenSet="1"/&gt;&lt;prefs&gt;&lt;pref name="fieldType" value="Field"/&gt;&lt;pref name="automati</vt:lpwstr>
  </property>
  <property fmtid="{D5CDD505-2E9C-101B-9397-08002B2CF9AE}" pid="3" name="ZOTERO_PREF_2">
    <vt:lpwstr>cJournalAbbreviations" value="true"/&gt;&lt;/prefs&gt;&lt;/data&gt;</vt:lpwstr>
  </property>
</Properties>
</file>