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F7F202" w14:textId="76018BE5" w:rsidR="001E194D" w:rsidRDefault="001E194D" w:rsidP="00305055">
      <w:pPr>
        <w:spacing w:after="0" w:line="240" w:lineRule="auto"/>
        <w:rPr>
          <w:rFonts w:ascii="Arial" w:eastAsia="MS Mincho" w:hAnsi="Arial" w:cs="Arial"/>
          <w:b/>
          <w:bCs/>
          <w:lang w:val="en-US" w:eastAsia="de-DE"/>
        </w:rPr>
      </w:pPr>
      <w:r>
        <w:rPr>
          <w:rFonts w:ascii="Arial" w:eastAsia="MS Mincho" w:hAnsi="Arial" w:cs="Arial"/>
          <w:b/>
          <w:bCs/>
          <w:lang w:val="en-US" w:eastAsia="de-DE"/>
        </w:rPr>
        <w:t>Appendix</w:t>
      </w:r>
    </w:p>
    <w:p w14:paraId="3460B8F1" w14:textId="23D09A82" w:rsidR="005D5BF3" w:rsidRDefault="005D5BF3" w:rsidP="00305055">
      <w:pPr>
        <w:spacing w:after="0" w:line="240" w:lineRule="auto"/>
        <w:rPr>
          <w:rFonts w:ascii="Arial" w:eastAsia="MS Mincho" w:hAnsi="Arial" w:cs="Arial"/>
          <w:b/>
          <w:bCs/>
          <w:lang w:val="en-US" w:eastAsia="de-DE"/>
        </w:rPr>
      </w:pPr>
    </w:p>
    <w:p w14:paraId="14C43529" w14:textId="77777777" w:rsidR="005D5BF3" w:rsidRDefault="005D5BF3" w:rsidP="00305055">
      <w:pPr>
        <w:spacing w:after="0" w:line="240" w:lineRule="auto"/>
        <w:rPr>
          <w:rFonts w:ascii="Arial" w:eastAsia="MS Mincho" w:hAnsi="Arial" w:cs="Arial"/>
          <w:b/>
          <w:bCs/>
          <w:lang w:val="en-US" w:eastAsia="de-DE"/>
        </w:rPr>
      </w:pPr>
    </w:p>
    <w:p w14:paraId="0E31A1D7" w14:textId="297C7C07" w:rsidR="00305055" w:rsidRDefault="00305055" w:rsidP="00305055">
      <w:pPr>
        <w:spacing w:after="0" w:line="240" w:lineRule="auto"/>
        <w:rPr>
          <w:rFonts w:ascii="Arial" w:eastAsia="MS Mincho" w:hAnsi="Arial" w:cs="Arial"/>
          <w:b/>
          <w:bCs/>
          <w:lang w:val="en-US" w:eastAsia="de-DE"/>
        </w:rPr>
      </w:pPr>
      <w:r w:rsidRPr="00305055">
        <w:rPr>
          <w:rFonts w:ascii="Arial" w:eastAsia="MS Mincho" w:hAnsi="Arial" w:cs="Arial"/>
          <w:b/>
          <w:bCs/>
          <w:lang w:val="en-US" w:eastAsia="de-DE"/>
        </w:rPr>
        <w:t>Supplementary Figure</w:t>
      </w:r>
      <w:r w:rsidR="005D5BF3">
        <w:rPr>
          <w:rFonts w:ascii="Arial" w:eastAsia="MS Mincho" w:hAnsi="Arial" w:cs="Arial"/>
          <w:b/>
          <w:bCs/>
          <w:lang w:val="en-US" w:eastAsia="de-DE"/>
        </w:rPr>
        <w:t>s</w:t>
      </w:r>
      <w:r w:rsidRPr="00305055">
        <w:rPr>
          <w:rFonts w:ascii="Arial" w:eastAsia="MS Mincho" w:hAnsi="Arial" w:cs="Arial"/>
          <w:b/>
          <w:bCs/>
          <w:lang w:val="en-US" w:eastAsia="de-DE"/>
        </w:rPr>
        <w:t xml:space="preserve"> </w:t>
      </w:r>
      <w:r w:rsidR="00344F35">
        <w:rPr>
          <w:rFonts w:ascii="Arial" w:eastAsia="MS Mincho" w:hAnsi="Arial" w:cs="Arial"/>
          <w:b/>
          <w:bCs/>
          <w:lang w:val="en-US" w:eastAsia="de-DE"/>
        </w:rPr>
        <w:t xml:space="preserve">and Figure </w:t>
      </w:r>
      <w:r w:rsidRPr="00305055">
        <w:rPr>
          <w:rFonts w:ascii="Arial" w:eastAsia="MS Mincho" w:hAnsi="Arial" w:cs="Arial"/>
          <w:b/>
          <w:bCs/>
          <w:lang w:val="en-US" w:eastAsia="de-DE"/>
        </w:rPr>
        <w:t>Legends</w:t>
      </w:r>
    </w:p>
    <w:p w14:paraId="27AED037" w14:textId="1E559D50" w:rsidR="005D5BF3" w:rsidRDefault="005D5BF3" w:rsidP="00305055">
      <w:pPr>
        <w:spacing w:after="0" w:line="240" w:lineRule="auto"/>
        <w:rPr>
          <w:rFonts w:ascii="Arial" w:eastAsia="MS Mincho" w:hAnsi="Arial" w:cs="Arial"/>
          <w:b/>
          <w:bCs/>
          <w:lang w:val="en-US" w:eastAsia="de-DE"/>
        </w:rPr>
      </w:pPr>
    </w:p>
    <w:p w14:paraId="5580BB8F" w14:textId="77777777" w:rsidR="005D5BF3" w:rsidRPr="00344F35" w:rsidRDefault="005D5BF3" w:rsidP="00305055">
      <w:pPr>
        <w:spacing w:after="0" w:line="240" w:lineRule="auto"/>
        <w:rPr>
          <w:rFonts w:ascii="Arial" w:eastAsia="MS Mincho" w:hAnsi="Arial" w:cs="Arial"/>
          <w:b/>
          <w:bCs/>
          <w:lang w:val="en-US" w:eastAsia="de-DE"/>
        </w:rPr>
      </w:pPr>
      <w:bookmarkStart w:id="0" w:name="_GoBack"/>
      <w:bookmarkEnd w:id="0"/>
    </w:p>
    <w:p w14:paraId="378700C1" w14:textId="70B2ABCB" w:rsidR="00344F35" w:rsidRDefault="00344F35" w:rsidP="00305055">
      <w:pPr>
        <w:spacing w:after="0" w:line="240" w:lineRule="auto"/>
        <w:rPr>
          <w:rFonts w:ascii="Arial" w:eastAsia="MS Mincho" w:hAnsi="Arial" w:cs="Arial"/>
          <w:b/>
          <w:bCs/>
          <w:color w:val="000000" w:themeColor="text1"/>
          <w:lang w:val="en-US" w:eastAsia="de-DE"/>
        </w:rPr>
      </w:pPr>
    </w:p>
    <w:p w14:paraId="117588EE" w14:textId="01A7CCD7" w:rsidR="00344F35" w:rsidRPr="00770F1D" w:rsidRDefault="00344F35" w:rsidP="00305055">
      <w:pPr>
        <w:spacing w:after="0" w:line="240" w:lineRule="auto"/>
        <w:rPr>
          <w:rFonts w:ascii="Arial" w:eastAsia="MS Mincho" w:hAnsi="Arial" w:cs="Arial"/>
          <w:b/>
          <w:bCs/>
          <w:color w:val="000000" w:themeColor="text1"/>
          <w:lang w:val="en-US" w:eastAsia="de-DE"/>
        </w:rPr>
      </w:pPr>
      <w:r>
        <w:rPr>
          <w:rFonts w:ascii="Arial" w:eastAsia="MS Mincho" w:hAnsi="Arial" w:cs="Arial"/>
          <w:b/>
          <w:bCs/>
          <w:noProof/>
          <w:color w:val="000000" w:themeColor="text1"/>
          <w:lang w:val="en-US" w:eastAsia="de-DE"/>
        </w:rPr>
        <w:drawing>
          <wp:inline distT="0" distB="0" distL="0" distR="0" wp14:anchorId="1D69FB98" wp14:editId="179657F9">
            <wp:extent cx="2844690" cy="3147237"/>
            <wp:effectExtent l="0" t="0" r="63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62780" cy="3167251"/>
                    </a:xfrm>
                    <a:prstGeom prst="rect">
                      <a:avLst/>
                    </a:prstGeom>
                  </pic:spPr>
                </pic:pic>
              </a:graphicData>
            </a:graphic>
          </wp:inline>
        </w:drawing>
      </w:r>
    </w:p>
    <w:p w14:paraId="211A674F" w14:textId="77777777" w:rsidR="00305055" w:rsidRPr="00770F1D" w:rsidRDefault="00305055" w:rsidP="00305055">
      <w:pPr>
        <w:spacing w:after="0" w:line="240" w:lineRule="auto"/>
        <w:jc w:val="both"/>
        <w:rPr>
          <w:rFonts w:ascii="Arial" w:eastAsia="MS Mincho" w:hAnsi="Arial" w:cs="Arial"/>
          <w:b/>
          <w:bCs/>
          <w:color w:val="000000" w:themeColor="text1"/>
          <w:lang w:val="en-US" w:eastAsia="de-DE"/>
        </w:rPr>
      </w:pPr>
      <w:r w:rsidRPr="00770F1D">
        <w:rPr>
          <w:rFonts w:ascii="Arial" w:eastAsia="MS Mincho" w:hAnsi="Arial" w:cs="Arial"/>
          <w:b/>
          <w:bCs/>
          <w:color w:val="000000" w:themeColor="text1"/>
          <w:lang w:val="en-US" w:eastAsia="de-DE"/>
        </w:rPr>
        <w:t>Supplementary Fig. S1 Clinical presentation of the skin lesions</w:t>
      </w:r>
      <w:r w:rsidRPr="00770F1D">
        <w:rPr>
          <w:rFonts w:ascii="Arial" w:eastAsia="MS Mincho" w:hAnsi="Arial" w:cs="Arial"/>
          <w:color w:val="000000" w:themeColor="text1"/>
          <w:lang w:val="en-US" w:eastAsia="de-DE"/>
        </w:rPr>
        <w:t xml:space="preserve"> </w:t>
      </w:r>
    </w:p>
    <w:p w14:paraId="0CFA1001" w14:textId="77777777" w:rsidR="00305055" w:rsidRPr="00770F1D" w:rsidRDefault="00305055" w:rsidP="00305055">
      <w:pPr>
        <w:spacing w:after="0" w:line="240" w:lineRule="auto"/>
        <w:jc w:val="both"/>
        <w:rPr>
          <w:rFonts w:ascii="Arial" w:eastAsia="MS Mincho" w:hAnsi="Arial" w:cs="Arial"/>
          <w:color w:val="000000" w:themeColor="text1"/>
          <w:lang w:val="en-US" w:eastAsia="de-DE"/>
        </w:rPr>
      </w:pPr>
      <w:r w:rsidRPr="00770F1D">
        <w:rPr>
          <w:rFonts w:ascii="Arial" w:eastAsia="MS Mincho" w:hAnsi="Arial" w:cs="Arial"/>
          <w:color w:val="000000" w:themeColor="text1"/>
          <w:lang w:val="en-US" w:eastAsia="de-DE"/>
        </w:rPr>
        <w:t>Pat II presented with recurrent erythematous ulcerative skin plaques and nodules on the palm and leg.</w:t>
      </w:r>
    </w:p>
    <w:p w14:paraId="7C24F85E" w14:textId="7C1A5058" w:rsidR="005D5BF3" w:rsidRDefault="005D5BF3">
      <w:pPr>
        <w:rPr>
          <w:rFonts w:ascii="Arial" w:eastAsia="MS Mincho" w:hAnsi="Arial" w:cs="Arial"/>
          <w:b/>
          <w:color w:val="000000" w:themeColor="text1"/>
          <w:lang w:val="en-US" w:eastAsia="de-DE"/>
        </w:rPr>
      </w:pPr>
      <w:r>
        <w:rPr>
          <w:rFonts w:ascii="Arial" w:eastAsia="MS Mincho" w:hAnsi="Arial" w:cs="Arial"/>
          <w:b/>
          <w:color w:val="000000" w:themeColor="text1"/>
          <w:lang w:val="en-US" w:eastAsia="de-DE"/>
        </w:rPr>
        <w:br w:type="page"/>
      </w:r>
    </w:p>
    <w:p w14:paraId="18892FFD" w14:textId="505A89AB" w:rsidR="005D5BF3" w:rsidRPr="00770F1D" w:rsidRDefault="005D5BF3" w:rsidP="00305055">
      <w:pPr>
        <w:spacing w:after="0" w:line="240" w:lineRule="auto"/>
        <w:jc w:val="both"/>
        <w:rPr>
          <w:rFonts w:ascii="Arial" w:eastAsia="MS Mincho" w:hAnsi="Arial" w:cs="Arial"/>
          <w:b/>
          <w:color w:val="000000" w:themeColor="text1"/>
          <w:lang w:val="en-US" w:eastAsia="de-DE"/>
        </w:rPr>
      </w:pPr>
      <w:r>
        <w:rPr>
          <w:rFonts w:ascii="Arial" w:eastAsia="MS Mincho" w:hAnsi="Arial" w:cs="Arial"/>
          <w:b/>
          <w:noProof/>
          <w:color w:val="000000" w:themeColor="text1"/>
          <w:lang w:val="en-US" w:eastAsia="de-DE"/>
        </w:rPr>
        <w:lastRenderedPageBreak/>
        <w:drawing>
          <wp:inline distT="0" distB="0" distL="0" distR="0" wp14:anchorId="3C60391E" wp14:editId="08FB10E8">
            <wp:extent cx="5755640" cy="56610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5640" cy="5661025"/>
                    </a:xfrm>
                    <a:prstGeom prst="rect">
                      <a:avLst/>
                    </a:prstGeom>
                  </pic:spPr>
                </pic:pic>
              </a:graphicData>
            </a:graphic>
          </wp:inline>
        </w:drawing>
      </w:r>
    </w:p>
    <w:p w14:paraId="14235B11" w14:textId="77777777" w:rsidR="006C744C" w:rsidRPr="00770F1D" w:rsidRDefault="00305055" w:rsidP="00305055">
      <w:pPr>
        <w:spacing w:after="0" w:line="240" w:lineRule="auto"/>
        <w:jc w:val="both"/>
        <w:rPr>
          <w:rFonts w:ascii="Arial" w:eastAsia="MS Mincho" w:hAnsi="Arial" w:cs="Arial"/>
          <w:b/>
          <w:color w:val="000000" w:themeColor="text1"/>
          <w:lang w:val="en-US" w:eastAsia="de-DE"/>
        </w:rPr>
      </w:pPr>
      <w:r w:rsidRPr="00770F1D">
        <w:rPr>
          <w:rFonts w:ascii="Arial" w:eastAsia="MS Mincho" w:hAnsi="Arial" w:cs="Arial"/>
          <w:b/>
          <w:color w:val="000000" w:themeColor="text1"/>
          <w:lang w:val="en-US" w:eastAsia="de-DE"/>
        </w:rPr>
        <w:t xml:space="preserve">Supplementary Fig. S2 </w:t>
      </w:r>
      <w:r w:rsidR="006C744C" w:rsidRPr="00770F1D">
        <w:rPr>
          <w:rFonts w:ascii="Arial" w:eastAsia="MS Mincho" w:hAnsi="Arial" w:cs="Arial"/>
          <w:b/>
          <w:color w:val="000000" w:themeColor="text1"/>
          <w:lang w:val="en-US" w:eastAsia="de-DE"/>
        </w:rPr>
        <w:t xml:space="preserve">Supplementary flow cytometric </w:t>
      </w:r>
      <w:r w:rsidR="00FD1996" w:rsidRPr="00770F1D">
        <w:rPr>
          <w:rFonts w:ascii="Arial" w:eastAsia="MS Mincho" w:hAnsi="Arial" w:cs="Arial"/>
          <w:b/>
          <w:color w:val="000000" w:themeColor="text1"/>
          <w:lang w:val="en-US" w:eastAsia="de-DE"/>
        </w:rPr>
        <w:t xml:space="preserve">and microscopy </w:t>
      </w:r>
      <w:r w:rsidR="006C744C" w:rsidRPr="00770F1D">
        <w:rPr>
          <w:rFonts w:ascii="Arial" w:eastAsia="MS Mincho" w:hAnsi="Arial" w:cs="Arial"/>
          <w:b/>
          <w:color w:val="000000" w:themeColor="text1"/>
          <w:lang w:val="en-US" w:eastAsia="de-DE"/>
        </w:rPr>
        <w:t>data</w:t>
      </w:r>
    </w:p>
    <w:p w14:paraId="2B695625" w14:textId="77777777" w:rsidR="006C744C" w:rsidRPr="00770F1D" w:rsidRDefault="006C744C" w:rsidP="006C744C">
      <w:pPr>
        <w:spacing w:after="0" w:line="240" w:lineRule="auto"/>
        <w:jc w:val="both"/>
        <w:rPr>
          <w:rFonts w:ascii="Arial" w:eastAsia="MS Mincho" w:hAnsi="Arial" w:cs="Arial"/>
          <w:b/>
          <w:color w:val="000000" w:themeColor="text1"/>
          <w:lang w:val="en-US" w:eastAsia="de-DE"/>
        </w:rPr>
      </w:pPr>
      <w:r w:rsidRPr="00770F1D">
        <w:rPr>
          <w:rFonts w:ascii="Arial" w:eastAsia="MS Mincho" w:hAnsi="Arial" w:cs="Arial"/>
          <w:color w:val="000000" w:themeColor="text1"/>
          <w:lang w:val="en-US" w:eastAsia="de-DE"/>
        </w:rPr>
        <w:t xml:space="preserve">A) Histogram of N-terminal LCK staining, isotype control and FMO (fluorescence minus one) in </w:t>
      </w:r>
      <w:r w:rsidR="00FD1996" w:rsidRPr="00770F1D">
        <w:rPr>
          <w:rFonts w:ascii="Arial" w:eastAsia="MS Mincho" w:hAnsi="Arial" w:cs="Arial"/>
          <w:color w:val="000000" w:themeColor="text1"/>
          <w:lang w:val="en-US" w:eastAsia="de-DE"/>
        </w:rPr>
        <w:t>CD45R0 CD4 T cells or CD8 T cell</w:t>
      </w:r>
      <w:r w:rsidRPr="00770F1D">
        <w:rPr>
          <w:rFonts w:ascii="Arial" w:eastAsia="MS Mincho" w:hAnsi="Arial" w:cs="Arial"/>
          <w:color w:val="000000" w:themeColor="text1"/>
          <w:lang w:val="en-US" w:eastAsia="de-DE"/>
        </w:rPr>
        <w:t>s compared to CD3neg cells from the same healthy donor</w:t>
      </w:r>
      <w:r w:rsidR="00FD1996" w:rsidRPr="00770F1D">
        <w:rPr>
          <w:rFonts w:ascii="Arial" w:eastAsia="MS Mincho" w:hAnsi="Arial" w:cs="Arial"/>
          <w:color w:val="000000" w:themeColor="text1"/>
          <w:lang w:val="en-US" w:eastAsia="de-DE"/>
        </w:rPr>
        <w:t xml:space="preserve"> as shown in Figure 1c</w:t>
      </w:r>
      <w:r w:rsidRPr="00770F1D">
        <w:rPr>
          <w:rFonts w:ascii="Arial" w:eastAsia="MS Mincho" w:hAnsi="Arial" w:cs="Arial"/>
          <w:color w:val="000000" w:themeColor="text1"/>
          <w:lang w:val="en-US" w:eastAsia="de-DE"/>
        </w:rPr>
        <w:t xml:space="preserve">. B) </w:t>
      </w:r>
      <w:r w:rsidR="00FD1996" w:rsidRPr="00770F1D">
        <w:rPr>
          <w:rFonts w:ascii="Arial" w:eastAsia="MS Mincho" w:hAnsi="Arial" w:cs="Arial"/>
          <w:color w:val="000000" w:themeColor="text1"/>
          <w:lang w:val="en-US" w:eastAsia="de-DE"/>
        </w:rPr>
        <w:t xml:space="preserve">Secondary antibody staining for LCK transduced </w:t>
      </w:r>
      <w:proofErr w:type="spellStart"/>
      <w:r w:rsidR="00FD1996" w:rsidRPr="00770F1D">
        <w:rPr>
          <w:rFonts w:ascii="Arial" w:eastAsia="MS Mincho" w:hAnsi="Arial" w:cs="Arial"/>
          <w:color w:val="000000" w:themeColor="text1"/>
          <w:lang w:val="en-US" w:eastAsia="de-DE"/>
        </w:rPr>
        <w:t>Jk.LCKKO</w:t>
      </w:r>
      <w:proofErr w:type="spellEnd"/>
      <w:r w:rsidR="00FD1996" w:rsidRPr="00770F1D">
        <w:rPr>
          <w:rFonts w:ascii="Arial" w:eastAsia="MS Mincho" w:hAnsi="Arial" w:cs="Arial"/>
          <w:color w:val="000000" w:themeColor="text1"/>
          <w:lang w:val="en-US" w:eastAsia="de-DE"/>
        </w:rPr>
        <w:t xml:space="preserve"> cells and DAPI as shown in Figure 1f. C) </w:t>
      </w:r>
      <w:r w:rsidRPr="00770F1D">
        <w:rPr>
          <w:rFonts w:ascii="Arial" w:eastAsia="MS Mincho" w:hAnsi="Arial" w:cs="Arial"/>
          <w:color w:val="000000" w:themeColor="text1"/>
          <w:lang w:val="en-US" w:eastAsia="de-DE"/>
        </w:rPr>
        <w:t xml:space="preserve">Gating strategy and example for </w:t>
      </w:r>
      <w:r w:rsidRPr="00770F1D">
        <w:rPr>
          <w:rFonts w:ascii="Symbol" w:eastAsia="MS Mincho" w:hAnsi="Symbol" w:cs="Arial"/>
          <w:color w:val="000000" w:themeColor="text1"/>
          <w:lang w:val="en-US" w:eastAsia="de-DE"/>
        </w:rPr>
        <w:t></w:t>
      </w:r>
      <w:r w:rsidRPr="00770F1D">
        <w:rPr>
          <w:rFonts w:ascii="Symbol" w:eastAsia="MS Mincho" w:hAnsi="Symbol" w:cs="Arial"/>
          <w:color w:val="000000" w:themeColor="text1"/>
          <w:lang w:val="en-US" w:eastAsia="de-DE"/>
        </w:rPr>
        <w:t></w:t>
      </w:r>
      <w:r w:rsidRPr="00770F1D">
        <w:rPr>
          <w:rFonts w:ascii="Arial" w:eastAsia="MS Mincho" w:hAnsi="Arial" w:cs="Arial"/>
          <w:color w:val="000000" w:themeColor="text1"/>
          <w:lang w:val="en-US" w:eastAsia="de-DE"/>
        </w:rPr>
        <w:t xml:space="preserve"> T cell staining </w:t>
      </w:r>
      <w:r w:rsidR="00FD1996" w:rsidRPr="00770F1D">
        <w:rPr>
          <w:rFonts w:ascii="Arial" w:eastAsia="MS Mincho" w:hAnsi="Arial" w:cs="Arial"/>
          <w:color w:val="000000" w:themeColor="text1"/>
          <w:lang w:val="en-US" w:eastAsia="de-DE"/>
        </w:rPr>
        <w:t xml:space="preserve">in Pat I </w:t>
      </w:r>
      <w:r w:rsidRPr="00770F1D">
        <w:rPr>
          <w:rFonts w:ascii="Arial" w:eastAsia="MS Mincho" w:hAnsi="Arial" w:cs="Arial"/>
          <w:color w:val="000000" w:themeColor="text1"/>
          <w:lang w:val="en-US" w:eastAsia="de-DE"/>
        </w:rPr>
        <w:t xml:space="preserve">and definition of CD8pos and DN T cells as shown in Figure </w:t>
      </w:r>
      <w:r w:rsidR="00FD1996" w:rsidRPr="00770F1D">
        <w:rPr>
          <w:rFonts w:ascii="Arial" w:eastAsia="MS Mincho" w:hAnsi="Arial" w:cs="Arial"/>
          <w:color w:val="000000" w:themeColor="text1"/>
          <w:lang w:val="en-US" w:eastAsia="de-DE"/>
        </w:rPr>
        <w:t>2a</w:t>
      </w:r>
      <w:r w:rsidRPr="00770F1D">
        <w:rPr>
          <w:rFonts w:ascii="Arial" w:eastAsia="MS Mincho" w:hAnsi="Arial" w:cs="Arial"/>
          <w:color w:val="000000" w:themeColor="text1"/>
          <w:lang w:val="en-US" w:eastAsia="de-DE"/>
        </w:rPr>
        <w:t xml:space="preserve">. </w:t>
      </w:r>
      <w:r w:rsidRPr="00770F1D">
        <w:rPr>
          <w:rFonts w:ascii="Arial" w:eastAsia="MS Mincho" w:hAnsi="Arial" w:cs="Arial"/>
          <w:b/>
          <w:color w:val="000000" w:themeColor="text1"/>
          <w:lang w:val="en-US" w:eastAsia="de-DE"/>
        </w:rPr>
        <w:t xml:space="preserve"> </w:t>
      </w:r>
    </w:p>
    <w:p w14:paraId="031AA169" w14:textId="77777777" w:rsidR="006C744C" w:rsidRPr="00770F1D" w:rsidRDefault="006C744C" w:rsidP="00305055">
      <w:pPr>
        <w:spacing w:after="0" w:line="240" w:lineRule="auto"/>
        <w:jc w:val="both"/>
        <w:rPr>
          <w:rFonts w:ascii="Arial" w:eastAsia="MS Mincho" w:hAnsi="Arial" w:cs="Arial"/>
          <w:b/>
          <w:color w:val="000000" w:themeColor="text1"/>
          <w:lang w:val="en-US" w:eastAsia="de-DE"/>
        </w:rPr>
      </w:pPr>
    </w:p>
    <w:p w14:paraId="2FAEF610" w14:textId="77777777" w:rsidR="006C744C" w:rsidRPr="00770F1D" w:rsidRDefault="006C744C" w:rsidP="006C744C">
      <w:pPr>
        <w:spacing w:after="0" w:line="240" w:lineRule="auto"/>
        <w:jc w:val="both"/>
        <w:rPr>
          <w:rFonts w:ascii="Arial" w:eastAsia="MS Mincho" w:hAnsi="Arial" w:cs="Arial"/>
          <w:b/>
          <w:color w:val="000000" w:themeColor="text1"/>
          <w:lang w:val="en-US" w:eastAsia="de-DE"/>
        </w:rPr>
      </w:pPr>
    </w:p>
    <w:p w14:paraId="30060587" w14:textId="77777777" w:rsidR="005D5BF3" w:rsidRDefault="005D5BF3">
      <w:pPr>
        <w:rPr>
          <w:rFonts w:ascii="Arial" w:eastAsia="MS Mincho" w:hAnsi="Arial" w:cs="Arial"/>
          <w:b/>
          <w:color w:val="000000" w:themeColor="text1"/>
          <w:lang w:val="en-US" w:eastAsia="de-DE"/>
        </w:rPr>
      </w:pPr>
      <w:r>
        <w:rPr>
          <w:rFonts w:ascii="Arial" w:eastAsia="MS Mincho" w:hAnsi="Arial" w:cs="Arial"/>
          <w:b/>
          <w:color w:val="000000" w:themeColor="text1"/>
          <w:lang w:val="en-US" w:eastAsia="de-DE"/>
        </w:rPr>
        <w:br w:type="page"/>
      </w:r>
    </w:p>
    <w:p w14:paraId="66229124" w14:textId="38B6588F" w:rsidR="00305055" w:rsidRPr="00770F1D" w:rsidRDefault="005D5BF3" w:rsidP="006C744C">
      <w:pPr>
        <w:spacing w:after="0" w:line="240" w:lineRule="auto"/>
        <w:jc w:val="both"/>
        <w:rPr>
          <w:rFonts w:ascii="Arial" w:eastAsia="MS Mincho" w:hAnsi="Arial" w:cs="Arial"/>
          <w:bCs/>
          <w:color w:val="000000" w:themeColor="text1"/>
          <w:lang w:val="en-US" w:eastAsia="de-DE"/>
        </w:rPr>
      </w:pPr>
      <w:r>
        <w:rPr>
          <w:rFonts w:ascii="Arial" w:eastAsia="MS Mincho" w:hAnsi="Arial" w:cs="Arial"/>
          <w:b/>
          <w:noProof/>
          <w:color w:val="000000" w:themeColor="text1"/>
          <w:lang w:val="en-US" w:eastAsia="de-DE"/>
        </w:rPr>
        <w:lastRenderedPageBreak/>
        <w:drawing>
          <wp:inline distT="0" distB="0" distL="0" distR="0" wp14:anchorId="46702E68" wp14:editId="181F7B02">
            <wp:extent cx="5755640" cy="449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5640" cy="4491990"/>
                    </a:xfrm>
                    <a:prstGeom prst="rect">
                      <a:avLst/>
                    </a:prstGeom>
                  </pic:spPr>
                </pic:pic>
              </a:graphicData>
            </a:graphic>
          </wp:inline>
        </w:drawing>
      </w:r>
      <w:r w:rsidR="006C744C" w:rsidRPr="00770F1D">
        <w:rPr>
          <w:rFonts w:ascii="Arial" w:eastAsia="MS Mincho" w:hAnsi="Arial" w:cs="Arial"/>
          <w:b/>
          <w:color w:val="000000" w:themeColor="text1"/>
          <w:lang w:val="en-US" w:eastAsia="de-DE"/>
        </w:rPr>
        <w:t xml:space="preserve">Supplementary Fig. S3 </w:t>
      </w:r>
      <w:r w:rsidR="00305055" w:rsidRPr="00770F1D">
        <w:rPr>
          <w:rFonts w:ascii="Arial" w:eastAsia="MS Mincho" w:hAnsi="Arial" w:cs="Arial"/>
          <w:b/>
          <w:color w:val="000000" w:themeColor="text1"/>
          <w:lang w:val="en-US" w:eastAsia="de-DE"/>
        </w:rPr>
        <w:t>TRG repertoire in LCK patients</w:t>
      </w:r>
      <w:r w:rsidR="00305055" w:rsidRPr="00770F1D">
        <w:rPr>
          <w:rFonts w:ascii="Arial" w:eastAsia="MS Mincho" w:hAnsi="Arial" w:cs="Arial"/>
          <w:bCs/>
          <w:color w:val="000000" w:themeColor="text1"/>
          <w:lang w:val="en-US" w:eastAsia="de-DE"/>
        </w:rPr>
        <w:t xml:space="preserve"> </w:t>
      </w:r>
    </w:p>
    <w:p w14:paraId="5726EDF0" w14:textId="77777777" w:rsidR="00305055" w:rsidRPr="00770F1D" w:rsidRDefault="00305055" w:rsidP="00305055">
      <w:pPr>
        <w:spacing w:after="0" w:line="240" w:lineRule="auto"/>
        <w:jc w:val="both"/>
        <w:rPr>
          <w:rFonts w:ascii="Arial" w:eastAsia="MS Mincho" w:hAnsi="Arial" w:cs="Arial"/>
          <w:color w:val="000000" w:themeColor="text1"/>
          <w:lang w:val="en-US" w:eastAsia="de-DE"/>
        </w:rPr>
      </w:pPr>
      <w:r w:rsidRPr="00770F1D">
        <w:rPr>
          <w:rFonts w:ascii="Arial" w:eastAsia="MS Mincho" w:hAnsi="Arial" w:cs="Arial"/>
          <w:color w:val="000000" w:themeColor="text1"/>
          <w:lang w:val="en-US" w:eastAsia="de-DE"/>
        </w:rPr>
        <w:t>The unique number of sequences corresponds to the number of unique clonotypes and the total number of sequences reflects the total number of circulating cells. The unique number of sequences in Pat I and Pat II were 257 and 520 sequences, respectively, compared to 2,066-4,260 sequences in healthy pediatric controls. The total number of sequences were 7,630 and 18,562 sequences, respectively, compared to 78,178-159,824 sequences in controls. Comparable to the peripheral blood, the unique and total sequences from Pat II skin biopsy were 428 and 14,165, respectively. Scatter dot plot presenting the (a) Simpson’s D diversity index in patient samples and controls (n=4). (b) Scatter dot plot presenting the frequency of the top 100 most abundant clones in patient samples and pediatric controls. (c) Shannon’s H diversity index in patient samples and controls (n=4). The p-values are for one-tailed t-test with Welch’s correction and whiskers present standard error (±SE). (d) and (e) Bar graph representing the average of four pediatric controls (±SE) and patients’ samples from peripheral blood and skin biopsy for the unique (d) and total (e) sequences.</w:t>
      </w:r>
      <w:r w:rsidRPr="00770F1D">
        <w:rPr>
          <w:rFonts w:ascii="Arial" w:eastAsia="MS Mincho" w:hAnsi="Arial" w:cs="Arial"/>
          <w:i/>
          <w:iCs/>
          <w:color w:val="000000" w:themeColor="text1"/>
          <w:lang w:val="en-US" w:eastAsia="de-DE"/>
        </w:rPr>
        <w:t xml:space="preserve"> TRGV8</w:t>
      </w:r>
      <w:r w:rsidRPr="00770F1D">
        <w:rPr>
          <w:rFonts w:ascii="Arial" w:eastAsia="MS Mincho" w:hAnsi="Arial" w:cs="Arial"/>
          <w:color w:val="000000" w:themeColor="text1"/>
          <w:lang w:val="en-US" w:eastAsia="de-DE"/>
        </w:rPr>
        <w:t xml:space="preserve"> gene was profoundly utilized in both patients’</w:t>
      </w:r>
      <w:r w:rsidRPr="00770F1D">
        <w:rPr>
          <w:rFonts w:ascii="Symbol" w:eastAsia="MS Mincho" w:hAnsi="Symbol" w:cs="Arial"/>
          <w:color w:val="000000" w:themeColor="text1"/>
          <w:lang w:val="en-US" w:eastAsia="de-DE"/>
        </w:rPr>
        <w:t></w:t>
      </w:r>
      <w:r w:rsidRPr="00770F1D">
        <w:rPr>
          <w:rFonts w:ascii="Symbol" w:eastAsia="MS Mincho" w:hAnsi="Symbol" w:cs="Arial"/>
          <w:color w:val="000000" w:themeColor="text1"/>
          <w:lang w:val="en-US" w:eastAsia="de-DE"/>
        </w:rPr>
        <w:t></w:t>
      </w:r>
      <w:r w:rsidRPr="00770F1D">
        <w:rPr>
          <w:rFonts w:ascii="Symbol" w:eastAsia="MS Mincho" w:hAnsi="Symbol" w:cs="Arial"/>
          <w:color w:val="000000" w:themeColor="text1"/>
          <w:lang w:val="en-US" w:eastAsia="de-DE"/>
        </w:rPr>
        <w:t></w:t>
      </w:r>
      <w:r w:rsidRPr="00770F1D">
        <w:rPr>
          <w:rFonts w:ascii="Arial" w:eastAsia="MS Mincho" w:hAnsi="Arial" w:cs="Arial"/>
          <w:color w:val="000000" w:themeColor="text1"/>
          <w:lang w:val="en-US" w:eastAsia="de-DE"/>
        </w:rPr>
        <w:t xml:space="preserve"> T cells in peripheral blood or tissue, both in unique and total sequences. The higher frequencies of </w:t>
      </w:r>
      <w:r w:rsidRPr="00770F1D">
        <w:rPr>
          <w:rFonts w:ascii="Arial" w:eastAsia="MS Mincho" w:hAnsi="Arial" w:cs="Arial"/>
          <w:i/>
          <w:iCs/>
          <w:color w:val="000000" w:themeColor="text1"/>
          <w:lang w:val="en-US" w:eastAsia="de-DE"/>
        </w:rPr>
        <w:t>TRGV8</w:t>
      </w:r>
      <w:r w:rsidRPr="00770F1D">
        <w:rPr>
          <w:rFonts w:ascii="Arial" w:eastAsia="MS Mincho" w:hAnsi="Arial" w:cs="Arial"/>
          <w:color w:val="000000" w:themeColor="text1"/>
          <w:vertAlign w:val="superscript"/>
          <w:lang w:val="en-US" w:eastAsia="de-DE"/>
        </w:rPr>
        <w:t>+</w:t>
      </w:r>
      <w:r w:rsidRPr="00770F1D">
        <w:rPr>
          <w:rFonts w:ascii="Arial" w:eastAsia="MS Mincho" w:hAnsi="Arial" w:cs="Arial"/>
          <w:color w:val="000000" w:themeColor="text1"/>
          <w:lang w:val="en-US" w:eastAsia="de-DE"/>
        </w:rPr>
        <w:t xml:space="preserve"> sequences in total sequences is indicative of its involvement in clonal expansions. Furthermore, </w:t>
      </w:r>
      <w:r w:rsidRPr="00770F1D">
        <w:rPr>
          <w:rFonts w:ascii="Arial" w:eastAsia="MS Mincho" w:hAnsi="Arial" w:cs="Arial"/>
          <w:i/>
          <w:iCs/>
          <w:color w:val="000000" w:themeColor="text1"/>
          <w:lang w:val="en-US" w:eastAsia="de-DE"/>
        </w:rPr>
        <w:t>TRGV10</w:t>
      </w:r>
      <w:r w:rsidRPr="00770F1D">
        <w:rPr>
          <w:rFonts w:ascii="Arial" w:eastAsia="MS Mincho" w:hAnsi="Arial" w:cs="Arial"/>
          <w:color w:val="000000" w:themeColor="text1"/>
          <w:vertAlign w:val="superscript"/>
          <w:lang w:val="en-US" w:eastAsia="de-DE"/>
        </w:rPr>
        <w:t>+</w:t>
      </w:r>
      <w:r w:rsidRPr="00770F1D">
        <w:rPr>
          <w:rFonts w:ascii="Arial" w:eastAsia="MS Mincho" w:hAnsi="Arial" w:cs="Arial"/>
          <w:color w:val="000000" w:themeColor="text1"/>
          <w:lang w:val="en-US" w:eastAsia="de-DE"/>
        </w:rPr>
        <w:t xml:space="preserve"> sequences of peripheral blood were substantially lower in both patients in unique and total sequences and </w:t>
      </w:r>
      <w:r w:rsidRPr="00770F1D">
        <w:rPr>
          <w:rFonts w:ascii="Arial" w:eastAsia="MS Mincho" w:hAnsi="Arial" w:cs="Arial"/>
          <w:i/>
          <w:iCs/>
          <w:color w:val="000000" w:themeColor="text1"/>
          <w:lang w:val="en-US" w:eastAsia="de-DE"/>
        </w:rPr>
        <w:t>TRGV10</w:t>
      </w:r>
      <w:r w:rsidRPr="00770F1D">
        <w:rPr>
          <w:rFonts w:ascii="Arial" w:eastAsia="MS Mincho" w:hAnsi="Arial" w:cs="Arial"/>
          <w:color w:val="000000" w:themeColor="text1"/>
          <w:vertAlign w:val="superscript"/>
          <w:lang w:val="en-US" w:eastAsia="de-DE"/>
        </w:rPr>
        <w:t>+</w:t>
      </w:r>
      <w:r w:rsidRPr="00770F1D">
        <w:rPr>
          <w:rFonts w:ascii="Arial" w:eastAsia="MS Mincho" w:hAnsi="Arial" w:cs="Arial"/>
          <w:color w:val="000000" w:themeColor="text1"/>
          <w:lang w:val="en-US" w:eastAsia="de-DE"/>
        </w:rPr>
        <w:t xml:space="preserve"> sequences of skin biopsy were markedly less utilized only in total sequences.</w:t>
      </w:r>
    </w:p>
    <w:p w14:paraId="0B83048E" w14:textId="77777777" w:rsidR="00305055" w:rsidRPr="00770F1D" w:rsidRDefault="00305055" w:rsidP="00305055">
      <w:pPr>
        <w:spacing w:after="0" w:line="240" w:lineRule="auto"/>
        <w:jc w:val="both"/>
        <w:rPr>
          <w:rFonts w:ascii="Arial" w:eastAsia="MS Mincho" w:hAnsi="Arial" w:cs="Arial"/>
          <w:color w:val="000000" w:themeColor="text1"/>
          <w:lang w:val="en-US" w:eastAsia="de-DE"/>
        </w:rPr>
      </w:pPr>
    </w:p>
    <w:p w14:paraId="63D7BE66" w14:textId="77777777" w:rsidR="005D5BF3" w:rsidRDefault="005D5BF3">
      <w:pPr>
        <w:rPr>
          <w:rFonts w:ascii="Arial" w:eastAsia="MS Mincho" w:hAnsi="Arial" w:cs="Arial"/>
          <w:b/>
          <w:color w:val="000000" w:themeColor="text1"/>
          <w:lang w:val="en-US" w:eastAsia="de-DE"/>
        </w:rPr>
      </w:pPr>
      <w:r>
        <w:rPr>
          <w:rFonts w:ascii="Arial" w:eastAsia="MS Mincho" w:hAnsi="Arial" w:cs="Arial"/>
          <w:b/>
          <w:color w:val="000000" w:themeColor="text1"/>
          <w:lang w:val="en-US" w:eastAsia="de-DE"/>
        </w:rPr>
        <w:br w:type="page"/>
      </w:r>
    </w:p>
    <w:p w14:paraId="7479BB8D" w14:textId="77777777" w:rsidR="005D5BF3" w:rsidRDefault="005D5BF3" w:rsidP="00305055">
      <w:pPr>
        <w:spacing w:after="0" w:line="240" w:lineRule="auto"/>
        <w:jc w:val="both"/>
        <w:rPr>
          <w:rFonts w:ascii="Arial" w:eastAsia="MS Mincho" w:hAnsi="Arial" w:cs="Arial"/>
          <w:b/>
          <w:color w:val="000000" w:themeColor="text1"/>
          <w:lang w:val="en-US" w:eastAsia="de-DE"/>
        </w:rPr>
      </w:pPr>
      <w:r>
        <w:rPr>
          <w:rFonts w:ascii="Arial" w:eastAsia="MS Mincho" w:hAnsi="Arial" w:cs="Arial"/>
          <w:b/>
          <w:noProof/>
          <w:color w:val="000000" w:themeColor="text1"/>
          <w:lang w:val="en-US" w:eastAsia="de-DE"/>
        </w:rPr>
        <w:lastRenderedPageBreak/>
        <w:drawing>
          <wp:inline distT="0" distB="0" distL="0" distR="0" wp14:anchorId="3CD4F5E5" wp14:editId="576A9B6F">
            <wp:extent cx="2426508" cy="2562447"/>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4.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39610" cy="2576283"/>
                    </a:xfrm>
                    <a:prstGeom prst="rect">
                      <a:avLst/>
                    </a:prstGeom>
                  </pic:spPr>
                </pic:pic>
              </a:graphicData>
            </a:graphic>
          </wp:inline>
        </w:drawing>
      </w:r>
    </w:p>
    <w:p w14:paraId="3C52726F" w14:textId="44044FE4" w:rsidR="00305055" w:rsidRPr="00770F1D" w:rsidRDefault="00305055" w:rsidP="00305055">
      <w:pPr>
        <w:spacing w:after="0" w:line="240" w:lineRule="auto"/>
        <w:jc w:val="both"/>
        <w:rPr>
          <w:rFonts w:ascii="Arial" w:eastAsia="MS Mincho" w:hAnsi="Arial" w:cs="Arial"/>
          <w:b/>
          <w:color w:val="000000" w:themeColor="text1"/>
          <w:lang w:val="en-US" w:eastAsia="de-DE"/>
        </w:rPr>
      </w:pPr>
      <w:r w:rsidRPr="00770F1D">
        <w:rPr>
          <w:rFonts w:ascii="Arial" w:eastAsia="MS Mincho" w:hAnsi="Arial" w:cs="Arial"/>
          <w:b/>
          <w:color w:val="000000" w:themeColor="text1"/>
          <w:lang w:val="en-US" w:eastAsia="de-DE"/>
        </w:rPr>
        <w:t>Supplementary Fig. S</w:t>
      </w:r>
      <w:r w:rsidR="006C744C" w:rsidRPr="00770F1D">
        <w:rPr>
          <w:rFonts w:ascii="Arial" w:eastAsia="MS Mincho" w:hAnsi="Arial" w:cs="Arial"/>
          <w:b/>
          <w:color w:val="000000" w:themeColor="text1"/>
          <w:lang w:val="en-US" w:eastAsia="de-DE"/>
        </w:rPr>
        <w:t>4</w:t>
      </w:r>
      <w:r w:rsidRPr="00770F1D">
        <w:rPr>
          <w:rFonts w:ascii="Arial" w:eastAsia="MS Mincho" w:hAnsi="Arial" w:cs="Arial"/>
          <w:b/>
          <w:color w:val="000000" w:themeColor="text1"/>
          <w:lang w:val="en-US" w:eastAsia="de-DE"/>
        </w:rPr>
        <w:t xml:space="preserve"> NK cell degranulation is normal in LCK patients</w:t>
      </w:r>
    </w:p>
    <w:p w14:paraId="41FCE4AA" w14:textId="77777777" w:rsidR="00952769" w:rsidRPr="00770F1D" w:rsidRDefault="00305055" w:rsidP="00305055">
      <w:pPr>
        <w:spacing w:after="0" w:line="240" w:lineRule="auto"/>
        <w:jc w:val="both"/>
        <w:rPr>
          <w:rFonts w:ascii="Arial" w:eastAsia="MS Mincho" w:hAnsi="Arial" w:cs="Arial"/>
          <w:bCs/>
          <w:color w:val="000000" w:themeColor="text1"/>
          <w:lang w:val="en-US" w:eastAsia="de-DE"/>
        </w:rPr>
      </w:pPr>
      <w:r w:rsidRPr="00770F1D">
        <w:rPr>
          <w:rFonts w:ascii="Arial" w:eastAsia="MS Mincho" w:hAnsi="Arial" w:cs="Arial"/>
          <w:bCs/>
          <w:color w:val="000000" w:themeColor="text1"/>
          <w:lang w:val="en-US" w:eastAsia="de-DE"/>
        </w:rPr>
        <w:t>CD107a expression in one ctrl and Pat II after incubation with K562 target cells or unstimulated which was unremarkable in patient’s CD56pos NK cells.</w:t>
      </w:r>
      <w:r w:rsidRPr="00770F1D">
        <w:rPr>
          <w:rFonts w:ascii="Arial" w:eastAsia="MS Mincho" w:hAnsi="Arial" w:cs="Arial"/>
          <w:bCs/>
          <w:color w:val="000000" w:themeColor="text1"/>
          <w:lang w:val="en-US" w:eastAsia="de-DE"/>
        </w:rPr>
        <w:fldChar w:fldCharType="begin"/>
      </w:r>
      <w:r w:rsidRPr="00770F1D">
        <w:rPr>
          <w:rFonts w:ascii="Arial" w:eastAsia="MS Mincho" w:hAnsi="Arial" w:cs="Arial"/>
          <w:bCs/>
          <w:color w:val="000000" w:themeColor="text1"/>
          <w:lang w:val="en-US" w:eastAsia="de-DE"/>
        </w:rPr>
        <w:instrText xml:space="preserve"> ADDIN </w:instrText>
      </w:r>
      <w:r w:rsidRPr="00770F1D">
        <w:rPr>
          <w:rFonts w:ascii="Arial" w:eastAsia="MS Mincho" w:hAnsi="Arial" w:cs="Arial"/>
          <w:bCs/>
          <w:color w:val="000000" w:themeColor="text1"/>
          <w:lang w:val="en-US" w:eastAsia="de-DE"/>
        </w:rPr>
        <w:fldChar w:fldCharType="end"/>
      </w:r>
    </w:p>
    <w:sectPr w:rsidR="00952769" w:rsidRPr="00770F1D" w:rsidSect="009122E6">
      <w:footerReference w:type="default" r:id="rId12"/>
      <w:pgSz w:w="11900" w:h="16840" w:code="9"/>
      <w:pgMar w:top="1418" w:right="1418" w:bottom="1134" w:left="1418"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51D2FD" w14:textId="77777777" w:rsidR="006D0519" w:rsidRDefault="006D0519">
      <w:pPr>
        <w:spacing w:after="0" w:line="240" w:lineRule="auto"/>
      </w:pPr>
      <w:r>
        <w:separator/>
      </w:r>
    </w:p>
  </w:endnote>
  <w:endnote w:type="continuationSeparator" w:id="0">
    <w:p w14:paraId="1C3D27D9" w14:textId="77777777" w:rsidR="006D0519" w:rsidRDefault="006D05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Segoe U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24075463"/>
      <w:docPartObj>
        <w:docPartGallery w:val="Page Numbers (Bottom of Page)"/>
        <w:docPartUnique/>
      </w:docPartObj>
    </w:sdtPr>
    <w:sdtEndPr>
      <w:rPr>
        <w:rFonts w:ascii="Arial" w:hAnsi="Arial" w:cs="Arial"/>
      </w:rPr>
    </w:sdtEndPr>
    <w:sdtContent>
      <w:p w14:paraId="1F65ADAD" w14:textId="77777777" w:rsidR="002150DC" w:rsidRPr="009122E6" w:rsidRDefault="00305055">
        <w:pPr>
          <w:pStyle w:val="Fuzeile1"/>
          <w:jc w:val="right"/>
          <w:rPr>
            <w:rFonts w:ascii="Arial" w:hAnsi="Arial" w:cs="Arial"/>
          </w:rPr>
        </w:pPr>
        <w:r w:rsidRPr="009122E6">
          <w:rPr>
            <w:rFonts w:ascii="Arial" w:hAnsi="Arial" w:cs="Arial"/>
          </w:rPr>
          <w:fldChar w:fldCharType="begin"/>
        </w:r>
        <w:r w:rsidRPr="009122E6">
          <w:rPr>
            <w:rFonts w:ascii="Arial" w:hAnsi="Arial" w:cs="Arial"/>
          </w:rPr>
          <w:instrText>PAGE   \* MERGEFORMAT</w:instrText>
        </w:r>
        <w:r w:rsidRPr="009122E6">
          <w:rPr>
            <w:rFonts w:ascii="Arial" w:hAnsi="Arial" w:cs="Arial"/>
          </w:rPr>
          <w:fldChar w:fldCharType="separate"/>
        </w:r>
        <w:r w:rsidR="001E194D">
          <w:rPr>
            <w:rFonts w:ascii="Arial" w:hAnsi="Arial" w:cs="Arial"/>
            <w:noProof/>
          </w:rPr>
          <w:t>1</w:t>
        </w:r>
        <w:r w:rsidRPr="009122E6">
          <w:rPr>
            <w:rFonts w:ascii="Arial" w:hAnsi="Arial" w:cs="Arial"/>
          </w:rPr>
          <w:fldChar w:fldCharType="end"/>
        </w:r>
      </w:p>
    </w:sdtContent>
  </w:sdt>
  <w:p w14:paraId="1AC49BF1" w14:textId="77777777" w:rsidR="002150DC" w:rsidRPr="00134F12" w:rsidRDefault="006D0519">
    <w:pPr>
      <w:pStyle w:val="Fuzeile1"/>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638057" w14:textId="77777777" w:rsidR="006D0519" w:rsidRDefault="006D0519">
      <w:pPr>
        <w:spacing w:after="0" w:line="240" w:lineRule="auto"/>
      </w:pPr>
      <w:r>
        <w:separator/>
      </w:r>
    </w:p>
  </w:footnote>
  <w:footnote w:type="continuationSeparator" w:id="0">
    <w:p w14:paraId="612FFA13" w14:textId="77777777" w:rsidR="006D0519" w:rsidRDefault="006D05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49F3E5A"/>
    <w:multiLevelType w:val="hybridMultilevel"/>
    <w:tmpl w:val="382A1492"/>
    <w:lvl w:ilvl="0" w:tplc="75C2EFC6">
      <w:start w:val="1"/>
      <w:numFmt w:val="upperLetter"/>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5055"/>
    <w:rsid w:val="00035874"/>
    <w:rsid w:val="001E194D"/>
    <w:rsid w:val="001F04AE"/>
    <w:rsid w:val="002D3A61"/>
    <w:rsid w:val="00305055"/>
    <w:rsid w:val="00344F35"/>
    <w:rsid w:val="005D5BF3"/>
    <w:rsid w:val="006C744C"/>
    <w:rsid w:val="006D0519"/>
    <w:rsid w:val="00727DBB"/>
    <w:rsid w:val="00770F1D"/>
    <w:rsid w:val="00952769"/>
    <w:rsid w:val="00FD199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B06CF0"/>
  <w15:chartTrackingRefBased/>
  <w15:docId w15:val="{3344B1C4-C7AD-4676-9C54-9FCD568355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uzeile1">
    <w:name w:val="Fußzeile1"/>
    <w:basedOn w:val="Normal"/>
    <w:next w:val="Footer"/>
    <w:link w:val="FuzeileZchn"/>
    <w:uiPriority w:val="99"/>
    <w:unhideWhenUsed/>
    <w:rsid w:val="00305055"/>
    <w:pPr>
      <w:tabs>
        <w:tab w:val="center" w:pos="4536"/>
        <w:tab w:val="right" w:pos="9072"/>
      </w:tabs>
      <w:spacing w:after="0" w:line="240" w:lineRule="auto"/>
    </w:pPr>
  </w:style>
  <w:style w:type="character" w:customStyle="1" w:styleId="FuzeileZchn">
    <w:name w:val="Fußzeile Zchn"/>
    <w:basedOn w:val="DefaultParagraphFont"/>
    <w:link w:val="Fuzeile1"/>
    <w:uiPriority w:val="99"/>
    <w:rsid w:val="00305055"/>
  </w:style>
  <w:style w:type="paragraph" w:styleId="Footer">
    <w:name w:val="footer"/>
    <w:basedOn w:val="Normal"/>
    <w:link w:val="FooterChar"/>
    <w:uiPriority w:val="99"/>
    <w:semiHidden/>
    <w:unhideWhenUsed/>
    <w:rsid w:val="00305055"/>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305055"/>
  </w:style>
  <w:style w:type="character" w:styleId="LineNumber">
    <w:name w:val="line number"/>
    <w:basedOn w:val="DefaultParagraphFont"/>
    <w:uiPriority w:val="99"/>
    <w:semiHidden/>
    <w:unhideWhenUsed/>
    <w:rsid w:val="00305055"/>
  </w:style>
  <w:style w:type="paragraph" w:styleId="ListParagraph">
    <w:name w:val="List Paragraph"/>
    <w:basedOn w:val="Normal"/>
    <w:uiPriority w:val="34"/>
    <w:qFormat/>
    <w:rsid w:val="006C744C"/>
    <w:pPr>
      <w:ind w:left="720"/>
      <w:contextualSpacing/>
    </w:pPr>
  </w:style>
  <w:style w:type="paragraph" w:styleId="BalloonText">
    <w:name w:val="Balloon Text"/>
    <w:basedOn w:val="Normal"/>
    <w:link w:val="BalloonTextChar"/>
    <w:uiPriority w:val="99"/>
    <w:semiHidden/>
    <w:unhideWhenUsed/>
    <w:rsid w:val="006C744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C744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1A5968-9936-4346-ACA4-38F3BC31DC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394</Words>
  <Characters>2249</Characters>
  <Application>Microsoft Office Word</Application>
  <DocSecurity>0</DocSecurity>
  <Lines>18</Lines>
  <Paragraphs>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Universitätsklinikum Freiburg</Company>
  <LinksUpToDate>false</LinksUpToDate>
  <CharactersWithSpaces>2638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Bärbel Keller</dc:creator>
  <cp:keywords/>
  <dc:description/>
  <cp:lastModifiedBy>Baerbel Keller</cp:lastModifiedBy>
  <cp:revision>2</cp:revision>
  <dcterms:created xsi:type="dcterms:W3CDTF">2023-09-13T17:16:00Z</dcterms:created>
  <dcterms:modified xsi:type="dcterms:W3CDTF">2023-09-13T17:16:00Z</dcterms:modified>
</cp:coreProperties>
</file>