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299B" w:rsidRDefault="0056299B" w:rsidP="0056299B">
      <w:pPr>
        <w:spacing w:line="360" w:lineRule="auto"/>
        <w:jc w:val="both"/>
        <w:rPr>
          <w:rFonts w:ascii="Arial" w:hAnsi="Arial" w:cs="Arial"/>
          <w:b/>
          <w:sz w:val="24"/>
          <w:szCs w:val="24"/>
          <w:lang w:val="en-GB"/>
        </w:rPr>
      </w:pPr>
      <w:bookmarkStart w:id="0" w:name="_GoBack"/>
      <w:r>
        <w:rPr>
          <w:rFonts w:ascii="Arial" w:hAnsi="Arial" w:cs="Arial"/>
          <w:b/>
          <w:sz w:val="24"/>
          <w:szCs w:val="24"/>
          <w:lang w:val="en-GB"/>
        </w:rPr>
        <w:t>Supporting information</w:t>
      </w:r>
    </w:p>
    <w:bookmarkEnd w:id="0"/>
    <w:p w:rsidR="0056299B" w:rsidRDefault="0056299B" w:rsidP="0056299B">
      <w:pPr>
        <w:spacing w:line="360" w:lineRule="auto"/>
        <w:jc w:val="both"/>
        <w:rPr>
          <w:rStyle w:val="tlid-translation"/>
          <w:rFonts w:ascii="Arial" w:hAnsi="Arial" w:cs="Arial"/>
          <w:sz w:val="24"/>
          <w:szCs w:val="24"/>
          <w:lang w:val="en-GB"/>
        </w:rPr>
      </w:pPr>
      <w:r>
        <w:rPr>
          <w:noProof/>
          <w:lang w:val="en-US"/>
        </w:rPr>
        <w:drawing>
          <wp:inline distT="0" distB="0" distL="0" distR="0" wp14:anchorId="4383AFDE" wp14:editId="2DFE9F0E">
            <wp:extent cx="5760720" cy="1899285"/>
            <wp:effectExtent l="0" t="0" r="0" b="0"/>
            <wp:docPr id="6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1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9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tlid-translation"/>
          <w:rFonts w:ascii="Arial" w:hAnsi="Arial" w:cs="Arial"/>
          <w:b/>
          <w:sz w:val="24"/>
          <w:szCs w:val="24"/>
          <w:lang w:val="en-GB"/>
        </w:rPr>
        <w:t xml:space="preserve">Figure S1 Comparison of gene model/splice variants of </w:t>
      </w:r>
      <w:r>
        <w:rPr>
          <w:rStyle w:val="tlid-translation"/>
          <w:rFonts w:ascii="Arial" w:hAnsi="Arial" w:cs="Arial"/>
          <w:b/>
          <w:i/>
          <w:sz w:val="24"/>
          <w:szCs w:val="24"/>
          <w:lang w:val="en-GB"/>
        </w:rPr>
        <w:t>P. patens</w:t>
      </w:r>
      <w:r>
        <w:rPr>
          <w:rStyle w:val="tlid-translation"/>
          <w:rFonts w:ascii="Arial" w:hAnsi="Arial" w:cs="Arial"/>
          <w:b/>
          <w:sz w:val="24"/>
          <w:szCs w:val="24"/>
          <w:lang w:val="en-GB"/>
        </w:rPr>
        <w:t xml:space="preserve"> and </w:t>
      </w:r>
      <w:r>
        <w:rPr>
          <w:rStyle w:val="tlid-translation"/>
          <w:rFonts w:ascii="Arial" w:hAnsi="Arial" w:cs="Arial"/>
          <w:b/>
          <w:i/>
          <w:sz w:val="24"/>
          <w:szCs w:val="24"/>
          <w:lang w:val="en-GB"/>
        </w:rPr>
        <w:t xml:space="preserve">S. </w:t>
      </w:r>
      <w:proofErr w:type="spellStart"/>
      <w:r>
        <w:rPr>
          <w:rStyle w:val="tlid-translation"/>
          <w:rFonts w:ascii="Arial" w:hAnsi="Arial" w:cs="Arial"/>
          <w:b/>
          <w:i/>
          <w:sz w:val="24"/>
          <w:szCs w:val="24"/>
          <w:lang w:val="en-GB"/>
        </w:rPr>
        <w:t>moellendorffii</w:t>
      </w:r>
      <w:proofErr w:type="spellEnd"/>
      <w:r>
        <w:rPr>
          <w:rStyle w:val="tlid-translation"/>
          <w:rFonts w:ascii="Arial" w:hAnsi="Arial" w:cs="Arial"/>
          <w:b/>
          <w:sz w:val="24"/>
          <w:szCs w:val="24"/>
          <w:lang w:val="en-GB"/>
        </w:rPr>
        <w:t xml:space="preserve"> </w:t>
      </w:r>
      <w:r>
        <w:rPr>
          <w:rStyle w:val="tlid-translation"/>
          <w:rFonts w:ascii="Arial" w:hAnsi="Arial" w:cs="Arial"/>
          <w:b/>
          <w:i/>
          <w:iCs/>
          <w:sz w:val="24"/>
          <w:szCs w:val="24"/>
          <w:lang w:val="en-GB"/>
        </w:rPr>
        <w:t>DOG1</w:t>
      </w:r>
      <w:r>
        <w:rPr>
          <w:rStyle w:val="tlid-translation"/>
          <w:rFonts w:ascii="Arial" w:hAnsi="Arial" w:cs="Arial"/>
          <w:b/>
          <w:sz w:val="24"/>
          <w:szCs w:val="24"/>
          <w:lang w:val="en-GB"/>
        </w:rPr>
        <w:t xml:space="preserve"> genes. 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Variants w/ and w/o ANK domain maybe derived from intron retention. Schematic representation of </w:t>
      </w:r>
      <w:r>
        <w:rPr>
          <w:rStyle w:val="tlid-translation"/>
          <w:rFonts w:ascii="Arial" w:hAnsi="Arial" w:cs="Arial"/>
          <w:i/>
          <w:sz w:val="24"/>
          <w:szCs w:val="24"/>
          <w:lang w:val="en-GB"/>
        </w:rPr>
        <w:t>Pp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3c26_14620V3.1 coding sequences compared to </w:t>
      </w:r>
      <w:proofErr w:type="spellStart"/>
      <w:r>
        <w:rPr>
          <w:rStyle w:val="tlid-translation"/>
          <w:rFonts w:ascii="Arial" w:hAnsi="Arial" w:cs="Arial"/>
          <w:i/>
          <w:sz w:val="24"/>
          <w:szCs w:val="24"/>
          <w:lang w:val="en-GB"/>
        </w:rPr>
        <w:t>Selaginella</w:t>
      </w:r>
      <w:proofErr w:type="spellEnd"/>
      <w:r>
        <w:rPr>
          <w:rStyle w:val="tlid-translation"/>
          <w:rFonts w:ascii="Arial" w:hAnsi="Arial" w:cs="Arial"/>
          <w:i/>
          <w:sz w:val="24"/>
          <w:szCs w:val="24"/>
          <w:lang w:val="en-GB"/>
        </w:rPr>
        <w:t xml:space="preserve"> </w:t>
      </w:r>
      <w:proofErr w:type="spellStart"/>
      <w:r>
        <w:rPr>
          <w:rStyle w:val="tlid-translation"/>
          <w:rFonts w:ascii="Arial" w:hAnsi="Arial" w:cs="Arial"/>
          <w:i/>
          <w:sz w:val="24"/>
          <w:szCs w:val="24"/>
          <w:lang w:val="en-GB"/>
        </w:rPr>
        <w:t>moellendorfii</w:t>
      </w:r>
      <w:proofErr w:type="spellEnd"/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(SELMO) gene 173073 (JGI, Joint Genome Institute) as well as its NCBI entry XM _024677809.1. Green and blue bars represent coding sequences. AA, amino acid. </w:t>
      </w:r>
      <w:bookmarkStart w:id="1" w:name="_Hlk147930549"/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Both variants of the </w:t>
      </w:r>
      <w:r w:rsidRPr="00BE4F2F">
        <w:rPr>
          <w:rStyle w:val="tlid-translation"/>
          <w:rFonts w:ascii="Arial" w:hAnsi="Arial" w:cs="Arial"/>
          <w:i/>
          <w:sz w:val="24"/>
          <w:szCs w:val="24"/>
          <w:lang w:val="en-GB"/>
        </w:rPr>
        <w:t>P. patens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transcript can be experimentally detected.</w:t>
      </w:r>
    </w:p>
    <w:bookmarkEnd w:id="1"/>
    <w:p w:rsidR="0056299B" w:rsidRDefault="0056299B" w:rsidP="0056299B">
      <w:pPr>
        <w:rPr>
          <w:rStyle w:val="tlid-translation"/>
          <w:rFonts w:ascii="Arial" w:hAnsi="Arial" w:cs="Arial"/>
          <w:sz w:val="24"/>
          <w:szCs w:val="24"/>
          <w:lang w:val="en-GB"/>
        </w:rPr>
      </w:pPr>
      <w:r w:rsidRPr="009426AF">
        <w:rPr>
          <w:lang w:val="en-US"/>
        </w:rPr>
        <w:br w:type="page"/>
      </w:r>
    </w:p>
    <w:p w:rsidR="0056299B" w:rsidRDefault="0056299B" w:rsidP="0056299B">
      <w:pPr>
        <w:spacing w:line="360" w:lineRule="auto"/>
        <w:jc w:val="both"/>
        <w:rPr>
          <w:rStyle w:val="tlid-translation"/>
          <w:rFonts w:ascii="Arial" w:hAnsi="Arial" w:cs="Arial"/>
          <w:sz w:val="24"/>
          <w:szCs w:val="24"/>
          <w:lang w:val="en-GB"/>
        </w:rPr>
      </w:pPr>
      <w:r>
        <w:rPr>
          <w:noProof/>
          <w:lang w:val="en-US"/>
        </w:rPr>
        <w:lastRenderedPageBreak/>
        <w:drawing>
          <wp:inline distT="0" distB="0" distL="0" distR="0" wp14:anchorId="1C28B9E6" wp14:editId="61706FEA">
            <wp:extent cx="5760720" cy="7800975"/>
            <wp:effectExtent l="0" t="0" r="0" b="0"/>
            <wp:docPr id="7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28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0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tlid-translation"/>
          <w:rFonts w:ascii="Arial" w:hAnsi="Arial" w:cs="Arial"/>
          <w:b/>
          <w:bCs/>
          <w:sz w:val="24"/>
          <w:szCs w:val="24"/>
          <w:lang w:val="en-GB"/>
        </w:rPr>
        <w:t xml:space="preserve"> Figure S2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</w:t>
      </w:r>
      <w:r>
        <w:rPr>
          <w:rStyle w:val="tlid-translation"/>
          <w:rFonts w:ascii="Arial" w:hAnsi="Arial" w:cs="Arial"/>
          <w:b/>
          <w:bCs/>
          <w:i/>
          <w:iCs/>
          <w:sz w:val="24"/>
          <w:szCs w:val="24"/>
          <w:lang w:val="en-GB"/>
        </w:rPr>
        <w:t xml:space="preserve">In </w:t>
      </w:r>
      <w:proofErr w:type="spellStart"/>
      <w:r>
        <w:rPr>
          <w:rStyle w:val="tlid-translation"/>
          <w:rFonts w:ascii="Arial" w:hAnsi="Arial" w:cs="Arial"/>
          <w:b/>
          <w:bCs/>
          <w:i/>
          <w:iCs/>
          <w:sz w:val="24"/>
          <w:szCs w:val="24"/>
          <w:lang w:val="en-GB"/>
        </w:rPr>
        <w:t>silico</w:t>
      </w:r>
      <w:proofErr w:type="spellEnd"/>
      <w:r>
        <w:rPr>
          <w:rStyle w:val="tlid-translation"/>
          <w:rFonts w:ascii="Arial" w:hAnsi="Arial" w:cs="Arial"/>
          <w:b/>
          <w:bCs/>
          <w:sz w:val="24"/>
          <w:szCs w:val="24"/>
          <w:lang w:val="en-GB"/>
        </w:rPr>
        <w:t xml:space="preserve"> expression analyses of </w:t>
      </w:r>
      <w:r>
        <w:rPr>
          <w:rStyle w:val="tlid-translation"/>
          <w:rFonts w:ascii="Arial" w:hAnsi="Arial" w:cs="Arial"/>
          <w:b/>
          <w:bCs/>
          <w:i/>
          <w:iCs/>
          <w:sz w:val="24"/>
          <w:szCs w:val="24"/>
          <w:lang w:val="en-GB"/>
        </w:rPr>
        <w:t>P. patens</w:t>
      </w:r>
      <w:r>
        <w:rPr>
          <w:rStyle w:val="tlid-translation"/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>
        <w:rPr>
          <w:rStyle w:val="tlid-translation"/>
          <w:rFonts w:ascii="Arial" w:hAnsi="Arial" w:cs="Arial"/>
          <w:b/>
          <w:bCs/>
          <w:i/>
          <w:sz w:val="24"/>
          <w:szCs w:val="24"/>
          <w:lang w:val="en-GB"/>
        </w:rPr>
        <w:t>DOG1</w:t>
      </w:r>
      <w:r>
        <w:rPr>
          <w:rStyle w:val="tlid-translation"/>
          <w:rFonts w:ascii="Arial" w:hAnsi="Arial" w:cs="Arial"/>
          <w:b/>
          <w:bCs/>
          <w:sz w:val="24"/>
          <w:szCs w:val="24"/>
          <w:lang w:val="en-GB"/>
        </w:rPr>
        <w:t xml:space="preserve"> homologous genes.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</w:t>
      </w:r>
      <w:proofErr w:type="spellStart"/>
      <w:r>
        <w:rPr>
          <w:rStyle w:val="tlid-translation"/>
          <w:rFonts w:ascii="Arial" w:hAnsi="Arial" w:cs="Arial"/>
          <w:sz w:val="24"/>
          <w:szCs w:val="24"/>
          <w:lang w:val="en-GB"/>
        </w:rPr>
        <w:t>PEATmoss</w:t>
      </w:r>
      <w:proofErr w:type="spellEnd"/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(</w:t>
      </w:r>
      <w:r>
        <w:rPr>
          <w:rStyle w:val="Hyperlink"/>
          <w:rFonts w:ascii="Arial" w:hAnsi="Arial" w:cs="Arial"/>
          <w:sz w:val="24"/>
          <w:szCs w:val="24"/>
          <w:lang w:val="en-GB"/>
        </w:rPr>
        <w:t>https://peatmoss.plantcode.cup.uni-freiburg.de/expression_viewer/input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; </w:t>
      </w:r>
      <w:r>
        <w:fldChar w:fldCharType="begin"/>
      </w:r>
      <w:r>
        <w:rPr>
          <w:rStyle w:val="tlid-translation"/>
          <w:rFonts w:ascii="Arial" w:hAnsi="Arial" w:cs="Arial"/>
          <w:sz w:val="24"/>
          <w:szCs w:val="24"/>
          <w:lang w:val="en-GB"/>
        </w:rPr>
        <w:instrText>ADDIN EN.CITE</w:instrText>
      </w:r>
      <w:r>
        <w:fldChar w:fldCharType="begin"/>
      </w:r>
      <w:r>
        <w:rPr>
          <w:rStyle w:val="tlid-translation"/>
          <w:rFonts w:ascii="Arial" w:hAnsi="Arial" w:cs="Arial"/>
          <w:sz w:val="24"/>
          <w:szCs w:val="24"/>
          <w:lang w:val="en-GB"/>
        </w:rPr>
        <w:instrText>ADDIN EN.CITE.DATA</w:instrTex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fldChar w:fldCharType="end"/>
      </w:r>
      <w:r>
        <w:rPr>
          <w:rStyle w:val="tlid-translation"/>
          <w:rFonts w:ascii="Arial" w:hAnsi="Arial" w:cs="Arial"/>
          <w:sz w:val="24"/>
          <w:szCs w:val="24"/>
          <w:lang w:val="en-GB"/>
        </w:rPr>
        <w:fldChar w:fldCharType="separate"/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>(</w:t>
      </w:r>
      <w:hyperlink w:anchor="_ENREF_15" w:tgtFrame="Fernandez-Pozo, 2020 #11455">
        <w:r>
          <w:rPr>
            <w:rStyle w:val="tlid-translation"/>
            <w:rFonts w:ascii="Arial" w:hAnsi="Arial" w:cs="Arial"/>
            <w:sz w:val="24"/>
            <w:szCs w:val="24"/>
            <w:lang w:val="en-GB"/>
          </w:rPr>
          <w:t>Fernandez-Pozo</w:t>
        </w:r>
        <w:r>
          <w:rPr>
            <w:rStyle w:val="tlid-translation"/>
            <w:rFonts w:ascii="Arial" w:hAnsi="Arial" w:cs="Arial"/>
            <w:i/>
            <w:sz w:val="24"/>
            <w:szCs w:val="24"/>
            <w:lang w:val="en-GB"/>
          </w:rPr>
          <w:t xml:space="preserve"> et al.</w:t>
        </w:r>
        <w:r>
          <w:rPr>
            <w:rStyle w:val="tlid-translation"/>
            <w:rFonts w:ascii="Arial" w:hAnsi="Arial" w:cs="Arial"/>
            <w:sz w:val="24"/>
            <w:szCs w:val="24"/>
            <w:lang w:val="en-GB"/>
          </w:rPr>
          <w:t xml:space="preserve"> 2020</w:t>
        </w:r>
      </w:hyperlink>
      <w:r>
        <w:rPr>
          <w:rStyle w:val="tlid-translation"/>
          <w:rFonts w:ascii="Arial" w:hAnsi="Arial" w:cs="Arial"/>
          <w:sz w:val="24"/>
          <w:szCs w:val="24"/>
          <w:lang w:val="en-GB"/>
        </w:rPr>
        <w:t>)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fldChar w:fldCharType="end"/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expression images depict FPKM values of all five DOG1 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lastRenderedPageBreak/>
        <w:t xml:space="preserve">homologous genes using </w:t>
      </w:r>
      <w:proofErr w:type="spellStart"/>
      <w:r>
        <w:rPr>
          <w:rStyle w:val="tlid-translation"/>
          <w:rFonts w:ascii="Arial" w:hAnsi="Arial" w:cs="Arial"/>
          <w:sz w:val="24"/>
          <w:szCs w:val="24"/>
          <w:lang w:val="en-GB"/>
        </w:rPr>
        <w:t>RNAseq</w:t>
      </w:r>
      <w:proofErr w:type="spellEnd"/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data of various developmental stages of </w:t>
      </w:r>
      <w:r>
        <w:rPr>
          <w:rStyle w:val="tlid-translation"/>
          <w:rFonts w:ascii="Arial" w:hAnsi="Arial" w:cs="Arial"/>
          <w:i/>
          <w:iCs/>
          <w:sz w:val="24"/>
          <w:szCs w:val="24"/>
          <w:lang w:val="en-GB"/>
        </w:rPr>
        <w:t>P. patens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ecotypes </w:t>
      </w:r>
      <w:proofErr w:type="spellStart"/>
      <w:r>
        <w:rPr>
          <w:rStyle w:val="tlid-translation"/>
          <w:rFonts w:ascii="Arial" w:hAnsi="Arial" w:cs="Arial"/>
          <w:sz w:val="24"/>
          <w:szCs w:val="24"/>
          <w:lang w:val="en-GB"/>
        </w:rPr>
        <w:t>Gransden</w:t>
      </w:r>
      <w:proofErr w:type="spellEnd"/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and </w:t>
      </w:r>
      <w:proofErr w:type="spellStart"/>
      <w:r>
        <w:rPr>
          <w:rStyle w:val="tlid-translation"/>
          <w:rFonts w:ascii="Arial" w:hAnsi="Arial" w:cs="Arial"/>
          <w:sz w:val="24"/>
          <w:szCs w:val="24"/>
          <w:lang w:val="en-GB"/>
        </w:rPr>
        <w:t>Reute</w:t>
      </w:r>
      <w:proofErr w:type="spellEnd"/>
      <w:r>
        <w:rPr>
          <w:rStyle w:val="tlid-translation"/>
          <w:rFonts w:ascii="Arial" w:hAnsi="Arial" w:cs="Arial"/>
          <w:sz w:val="24"/>
          <w:szCs w:val="24"/>
          <w:lang w:val="en-GB"/>
        </w:rPr>
        <w:t>. WT = wild type.</w:t>
      </w:r>
    </w:p>
    <w:p w:rsidR="0056299B" w:rsidRDefault="0056299B" w:rsidP="0056299B">
      <w:pPr>
        <w:rPr>
          <w:rStyle w:val="tlid-translation"/>
          <w:rFonts w:ascii="Arial" w:hAnsi="Arial" w:cs="Arial"/>
          <w:sz w:val="24"/>
          <w:szCs w:val="24"/>
          <w:lang w:val="en-GB"/>
        </w:rPr>
      </w:pPr>
      <w:r w:rsidRPr="009426AF">
        <w:rPr>
          <w:lang w:val="en-US"/>
        </w:rPr>
        <w:br w:type="page"/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b/>
          <w:sz w:val="24"/>
          <w:szCs w:val="24"/>
          <w:lang w:val="en-GB"/>
        </w:rPr>
      </w:pPr>
      <w:r>
        <w:rPr>
          <w:rFonts w:ascii="Arial" w:hAnsi="Arial" w:cs="Arial"/>
          <w:b/>
          <w:noProof/>
          <w:sz w:val="24"/>
          <w:szCs w:val="24"/>
          <w:lang w:val="en-US"/>
        </w:rPr>
        <w:lastRenderedPageBreak/>
        <w:drawing>
          <wp:inline distT="0" distB="0" distL="0" distR="0" wp14:anchorId="3182492A" wp14:editId="6E3D8BF9">
            <wp:extent cx="5751752" cy="4349364"/>
            <wp:effectExtent l="0" t="0" r="190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913" cy="43638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b/>
          <w:sz w:val="24"/>
          <w:szCs w:val="24"/>
          <w:lang w:val="en-GB"/>
        </w:rPr>
        <w:t>Figure S3</w:t>
      </w:r>
      <w:r>
        <w:rPr>
          <w:rFonts w:eastAsiaTheme="minorEastAsia"/>
          <w:b/>
          <w:bCs/>
          <w:color w:val="000000" w:themeColor="text1"/>
          <w:kern w:val="2"/>
          <w:sz w:val="24"/>
          <w:szCs w:val="24"/>
          <w:lang w:val="en-GB" w:eastAsia="en-GB"/>
        </w:rPr>
        <w:t xml:space="preserve"> </w:t>
      </w:r>
      <w:proofErr w:type="spellStart"/>
      <w:r>
        <w:rPr>
          <w:rFonts w:ascii="Arial" w:hAnsi="Arial" w:cs="Arial"/>
          <w:b/>
          <w:bCs/>
          <w:sz w:val="24"/>
          <w:szCs w:val="24"/>
          <w:lang w:val="en-GB"/>
        </w:rPr>
        <w:t>Gametangia</w:t>
      </w:r>
      <w:proofErr w:type="spellEnd"/>
      <w:r>
        <w:rPr>
          <w:rFonts w:ascii="Arial" w:hAnsi="Arial" w:cs="Arial"/>
          <w:b/>
          <w:bCs/>
          <w:sz w:val="24"/>
          <w:szCs w:val="24"/>
          <w:lang w:val="en-GB"/>
        </w:rPr>
        <w:t xml:space="preserve"> development of </w:t>
      </w:r>
      <w:r w:rsidRPr="00C672A4">
        <w:rPr>
          <w:rFonts w:ascii="Arial" w:hAnsi="Arial" w:cs="Arial"/>
          <w:b/>
          <w:bCs/>
          <w:i/>
          <w:sz w:val="24"/>
          <w:szCs w:val="24"/>
          <w:lang w:val="en-GB"/>
        </w:rPr>
        <w:t>Ppdog1-l1</w:t>
      </w:r>
      <w:r>
        <w:rPr>
          <w:rFonts w:ascii="Arial" w:hAnsi="Arial" w:cs="Arial"/>
          <w:b/>
          <w:bCs/>
          <w:sz w:val="24"/>
          <w:szCs w:val="24"/>
          <w:lang w:val="en-GB"/>
        </w:rPr>
        <w:t xml:space="preserve">and </w:t>
      </w:r>
      <w:r w:rsidRPr="00C672A4">
        <w:rPr>
          <w:rFonts w:ascii="Arial" w:hAnsi="Arial" w:cs="Arial"/>
          <w:b/>
          <w:bCs/>
          <w:i/>
          <w:sz w:val="24"/>
          <w:szCs w:val="24"/>
          <w:lang w:val="en-GB"/>
        </w:rPr>
        <w:t>Ppdog1-l1</w:t>
      </w:r>
      <w:r w:rsidRPr="00C672A4">
        <w:rPr>
          <w:rFonts w:ascii="Arial" w:hAnsi="Arial" w:cs="Arial"/>
          <w:b/>
          <w:bCs/>
          <w:iCs/>
          <w:sz w:val="24"/>
          <w:szCs w:val="24"/>
          <w:lang w:val="en-GB"/>
        </w:rPr>
        <w:t>:</w:t>
      </w:r>
      <w:r w:rsidRPr="00C672A4">
        <w:rPr>
          <w:rFonts w:ascii="Arial" w:hAnsi="Arial" w:cs="Arial"/>
          <w:b/>
          <w:bCs/>
          <w:i/>
          <w:sz w:val="24"/>
          <w:szCs w:val="24"/>
          <w:lang w:val="en-GB"/>
        </w:rPr>
        <w:t>At</w:t>
      </w:r>
      <w:r w:rsidRPr="00C672A4"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DOG1</w:t>
      </w:r>
      <w:r>
        <w:rPr>
          <w:rFonts w:ascii="Arial" w:hAnsi="Arial" w:cs="Arial"/>
          <w:b/>
          <w:bCs/>
          <w:sz w:val="24"/>
          <w:szCs w:val="24"/>
          <w:lang w:val="en-GB"/>
        </w:rPr>
        <w:t xml:space="preserve">compared to wild type </w:t>
      </w:r>
      <w:proofErr w:type="spellStart"/>
      <w:r>
        <w:rPr>
          <w:rFonts w:ascii="Arial" w:hAnsi="Arial" w:cs="Arial"/>
          <w:b/>
          <w:bCs/>
          <w:sz w:val="24"/>
          <w:szCs w:val="24"/>
          <w:lang w:val="en-GB"/>
        </w:rPr>
        <w:t>Reute</w:t>
      </w:r>
      <w:proofErr w:type="spellEnd"/>
      <w:r>
        <w:rPr>
          <w:rFonts w:ascii="Arial" w:hAnsi="Arial" w:cs="Arial"/>
          <w:b/>
          <w:bCs/>
          <w:sz w:val="24"/>
          <w:szCs w:val="24"/>
          <w:lang w:val="en-GB"/>
        </w:rPr>
        <w:t xml:space="preserve"> (WT) 21 days after induction.</w:t>
      </w:r>
      <w:r>
        <w:rPr>
          <w:rFonts w:ascii="Arial" w:hAnsi="Arial" w:cs="Arial"/>
          <w:sz w:val="24"/>
          <w:szCs w:val="24"/>
          <w:lang w:val="en-GB"/>
        </w:rPr>
        <w:t xml:space="preserve"> Immature: Apices with immature archegonia (female, tip cell closed, *) and mature antheridia (male, yellow to brownish colour, swollen and/or burst tip cells, a). Mature: Apices possess at least one mature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archegonium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(tip cell open, *) and mature antheridia (a). Fertilized: The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archegonial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neck canal (</w:t>
      </w:r>
      <w:proofErr w:type="spellStart"/>
      <w:r>
        <w:rPr>
          <w:rFonts w:ascii="Arial" w:hAnsi="Arial" w:cs="Arial"/>
          <w:sz w:val="24"/>
          <w:szCs w:val="24"/>
          <w:lang w:val="en-GB"/>
        </w:rPr>
        <w:t>nc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) cells are brownish, the venter is swollen and an embryo develops (e). Antheridia: Mature antheridia with swollen tip cell are visible for all strains (arrow). </w:t>
      </w:r>
      <w:r w:rsidRPr="00BE4F2F">
        <w:rPr>
          <w:rFonts w:ascii="Arial" w:hAnsi="Arial" w:cs="Arial"/>
          <w:i/>
          <w:iCs/>
          <w:sz w:val="24"/>
          <w:szCs w:val="24"/>
          <w:lang w:val="en-GB"/>
        </w:rPr>
        <w:t>Pp</w:t>
      </w:r>
      <w:r>
        <w:rPr>
          <w:rFonts w:ascii="Arial" w:hAnsi="Arial" w:cs="Arial"/>
          <w:i/>
          <w:iCs/>
          <w:sz w:val="24"/>
          <w:szCs w:val="24"/>
          <w:lang w:val="en-GB"/>
        </w:rPr>
        <w:t>dog1-l1</w:t>
      </w:r>
      <w:r>
        <w:rPr>
          <w:rFonts w:ascii="Arial" w:hAnsi="Arial" w:cs="Arial"/>
          <w:sz w:val="24"/>
          <w:szCs w:val="24"/>
          <w:lang w:val="en-GB"/>
        </w:rPr>
        <w:t xml:space="preserve"> antheridia are mainly empty and degrade after spermatozoid release (*).</w:t>
      </w:r>
    </w:p>
    <w:p w:rsidR="0056299B" w:rsidRDefault="0056299B" w:rsidP="0056299B">
      <w:pPr>
        <w:rPr>
          <w:rFonts w:ascii="Arial" w:hAnsi="Arial" w:cs="Arial"/>
          <w:b/>
          <w:sz w:val="24"/>
          <w:szCs w:val="24"/>
          <w:lang w:val="en-GB"/>
        </w:rPr>
      </w:pPr>
      <w:r w:rsidRPr="009426AF">
        <w:rPr>
          <w:lang w:val="en-US"/>
        </w:rPr>
        <w:br w:type="page"/>
      </w:r>
    </w:p>
    <w:p w:rsidR="0056299B" w:rsidRDefault="0056299B" w:rsidP="0056299B">
      <w:pPr>
        <w:rPr>
          <w:noProof/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4A2FC6BE" wp14:editId="25E84775">
            <wp:extent cx="6050280" cy="3307080"/>
            <wp:effectExtent l="0" t="0" r="7620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280" cy="3307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299B" w:rsidRDefault="0056299B" w:rsidP="0056299B">
      <w:pPr>
        <w:spacing w:line="360" w:lineRule="auto"/>
        <w:jc w:val="both"/>
        <w:rPr>
          <w:rStyle w:val="tlid-translation"/>
          <w:rFonts w:ascii="Arial" w:hAnsi="Arial" w:cs="Arial"/>
          <w:sz w:val="24"/>
          <w:szCs w:val="24"/>
          <w:lang w:val="en-GB"/>
        </w:rPr>
      </w:pPr>
      <w:r>
        <w:rPr>
          <w:rStyle w:val="tlid-translation"/>
          <w:rFonts w:ascii="Arial" w:hAnsi="Arial" w:cs="Arial"/>
          <w:b/>
          <w:sz w:val="24"/>
          <w:szCs w:val="24"/>
          <w:lang w:val="en-GB"/>
        </w:rPr>
        <w:t xml:space="preserve"> Figure S4 Germination rate determination under long-day conditions for </w:t>
      </w:r>
      <w:r w:rsidRPr="00C672A4">
        <w:rPr>
          <w:rFonts w:ascii="Arial" w:hAnsi="Arial" w:cs="Arial"/>
          <w:b/>
          <w:bCs/>
          <w:i/>
          <w:sz w:val="24"/>
          <w:szCs w:val="24"/>
          <w:lang w:val="en-GB"/>
        </w:rPr>
        <w:t>Ppdog1-l1</w:t>
      </w:r>
      <w:r>
        <w:rPr>
          <w:rStyle w:val="tlid-translation"/>
          <w:rFonts w:ascii="Arial" w:hAnsi="Arial" w:cs="Arial"/>
          <w:b/>
          <w:sz w:val="24"/>
          <w:szCs w:val="24"/>
          <w:lang w:val="en-GB"/>
        </w:rPr>
        <w:t xml:space="preserve"> and </w:t>
      </w:r>
      <w:r w:rsidRPr="00C672A4">
        <w:rPr>
          <w:rFonts w:ascii="Arial" w:hAnsi="Arial" w:cs="Arial"/>
          <w:b/>
          <w:bCs/>
          <w:i/>
          <w:sz w:val="24"/>
          <w:szCs w:val="24"/>
          <w:lang w:val="en-GB"/>
        </w:rPr>
        <w:t>Ppdog1-l1</w:t>
      </w:r>
      <w:r w:rsidRPr="00C672A4">
        <w:rPr>
          <w:rFonts w:ascii="Arial" w:hAnsi="Arial" w:cs="Arial"/>
          <w:b/>
          <w:bCs/>
          <w:iCs/>
          <w:sz w:val="24"/>
          <w:szCs w:val="24"/>
          <w:lang w:val="en-GB"/>
        </w:rPr>
        <w:t>:</w:t>
      </w:r>
      <w:r w:rsidRPr="00C672A4">
        <w:rPr>
          <w:rFonts w:ascii="Arial" w:hAnsi="Arial" w:cs="Arial"/>
          <w:b/>
          <w:bCs/>
          <w:i/>
          <w:sz w:val="24"/>
          <w:szCs w:val="24"/>
          <w:lang w:val="en-GB"/>
        </w:rPr>
        <w:t>At</w:t>
      </w:r>
      <w:r w:rsidRPr="00C672A4"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DOG1</w:t>
      </w:r>
      <w:r>
        <w:rPr>
          <w:rStyle w:val="tlid-translation"/>
          <w:rFonts w:ascii="Arial" w:hAnsi="Arial" w:cs="Arial"/>
          <w:b/>
          <w:sz w:val="24"/>
          <w:szCs w:val="24"/>
          <w:lang w:val="en-GB"/>
        </w:rPr>
        <w:t xml:space="preserve"> compared to wild type.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Diagram depicting germination rates of WT (black circles), knockout (grey circles), and replacement (pink circles) strains of </w:t>
      </w:r>
      <w:r w:rsidRPr="00863CDE">
        <w:rPr>
          <w:rStyle w:val="tlid-translation"/>
          <w:rFonts w:ascii="Arial" w:hAnsi="Arial" w:cs="Arial"/>
          <w:i/>
          <w:sz w:val="24"/>
          <w:szCs w:val="24"/>
          <w:lang w:val="en-GB"/>
        </w:rPr>
        <w:t>Pp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DOG1-L1 over seven days. For germination of spores, long-day conditions were tested using ≥3 repetitions and different light sources (LED and fluorescent bulbs for white light). For each independent repetition of the experiment, three to five replicates were tested. Statistical significance was calculated using </w:t>
      </w:r>
      <w:proofErr w:type="spellStart"/>
      <w:r>
        <w:rPr>
          <w:rStyle w:val="tlid-translation"/>
          <w:rFonts w:ascii="Arial" w:hAnsi="Arial" w:cs="Arial"/>
          <w:sz w:val="24"/>
          <w:szCs w:val="24"/>
          <w:lang w:val="en-GB"/>
        </w:rPr>
        <w:t>CountSpores</w:t>
      </w:r>
      <w:proofErr w:type="spellEnd"/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R package. Lines depict the estimated means +/- SEM; */</w:t>
      </w:r>
      <w:r>
        <w:rPr>
          <w:rStyle w:val="tlid-translation"/>
          <w:rFonts w:ascii="Arial" w:hAnsi="Arial" w:cs="Arial"/>
          <w:sz w:val="24"/>
          <w:szCs w:val="24"/>
          <w:vertAlign w:val="superscript"/>
          <w:lang w:val="en-GB"/>
        </w:rPr>
        <w:t>§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p&lt;0.05; **/</w:t>
      </w:r>
      <w:r>
        <w:rPr>
          <w:rStyle w:val="tlid-translation"/>
          <w:rFonts w:ascii="Arial" w:hAnsi="Arial" w:cs="Arial"/>
          <w:sz w:val="24"/>
          <w:szCs w:val="24"/>
          <w:vertAlign w:val="superscript"/>
          <w:lang w:val="en-GB"/>
        </w:rPr>
        <w:t>##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p&lt;0.01; </w:t>
      </w:r>
      <w:r>
        <w:rPr>
          <w:rStyle w:val="tlid-translation"/>
          <w:rFonts w:ascii="Arial" w:hAnsi="Arial" w:cs="Arial"/>
          <w:sz w:val="24"/>
          <w:szCs w:val="24"/>
          <w:vertAlign w:val="superscript"/>
          <w:lang w:val="en-GB"/>
        </w:rPr>
        <w:t>###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 xml:space="preserve"> p&lt;0.001. X-axis: days; Y-axis: % germination.</w:t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9426AF">
        <w:rPr>
          <w:lang w:val="en-US"/>
        </w:rPr>
        <w:br w:type="page"/>
      </w:r>
    </w:p>
    <w:p w:rsidR="0056299B" w:rsidRDefault="0056299B" w:rsidP="0056299B">
      <w:pPr>
        <w:spacing w:line="360" w:lineRule="auto"/>
        <w:jc w:val="both"/>
        <w:rPr>
          <w:noProof/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5B0A2493" wp14:editId="2F2A09C6">
            <wp:extent cx="5615940" cy="4122420"/>
            <wp:effectExtent l="0" t="0" r="381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412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t xml:space="preserve">Figure S5 </w:t>
      </w:r>
      <w:r w:rsidRPr="0020270C"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Pp</w:t>
      </w:r>
      <w:r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dog</w:t>
      </w:r>
      <w:r w:rsidRPr="0020270C"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1-</w:t>
      </w:r>
      <w:r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l</w:t>
      </w:r>
      <w:r w:rsidRPr="0020270C"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1</w:t>
      </w:r>
      <w:r>
        <w:rPr>
          <w:rFonts w:ascii="Arial" w:hAnsi="Arial" w:cs="Arial"/>
          <w:b/>
          <w:bCs/>
          <w:sz w:val="24"/>
          <w:szCs w:val="24"/>
          <w:lang w:val="en-GB"/>
        </w:rPr>
        <w:t xml:space="preserve"> mutant spores germinate faster than wild type in a second lab environment.</w:t>
      </w:r>
      <w:r>
        <w:rPr>
          <w:rFonts w:ascii="Arial" w:hAnsi="Arial" w:cs="Arial"/>
          <w:sz w:val="24"/>
          <w:szCs w:val="24"/>
          <w:lang w:val="en-GB"/>
        </w:rPr>
        <w:t xml:space="preserve"> Spores of </w:t>
      </w:r>
      <w:r>
        <w:rPr>
          <w:rStyle w:val="tlid-translation"/>
          <w:rFonts w:ascii="Arial" w:hAnsi="Arial" w:cs="Arial"/>
          <w:bCs/>
          <w:sz w:val="24"/>
          <w:szCs w:val="24"/>
          <w:lang w:val="en-GB"/>
        </w:rPr>
        <w:t xml:space="preserve">the knockout strain </w:t>
      </w:r>
      <w:r w:rsidRPr="00BE4F2F">
        <w:rPr>
          <w:rStyle w:val="tlid-translation"/>
          <w:rFonts w:ascii="Arial" w:hAnsi="Arial" w:cs="Arial"/>
          <w:bCs/>
          <w:i/>
          <w:iCs/>
          <w:sz w:val="24"/>
          <w:szCs w:val="24"/>
          <w:lang w:val="en-GB"/>
        </w:rPr>
        <w:t>Ppdog1-l1</w:t>
      </w:r>
      <w:r>
        <w:rPr>
          <w:rFonts w:ascii="Arial" w:hAnsi="Arial" w:cs="Arial"/>
          <w:sz w:val="24"/>
          <w:szCs w:val="24"/>
          <w:lang w:val="en-GB"/>
        </w:rPr>
        <w:t xml:space="preserve">  germinate significantly faster than wild type (WT,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Reute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ecotype) spores. Error bars, ± SEM. Significant differences between knockout strain KO_</w:t>
      </w:r>
      <w:r>
        <w:rPr>
          <w:rFonts w:ascii="Arial" w:hAnsi="Arial" w:cs="Arial"/>
          <w:i/>
          <w:sz w:val="24"/>
          <w:szCs w:val="24"/>
          <w:lang w:val="en-GB"/>
        </w:rPr>
        <w:t>Pp</w:t>
      </w:r>
      <w:r>
        <w:rPr>
          <w:rFonts w:ascii="Arial" w:hAnsi="Arial" w:cs="Arial"/>
          <w:sz w:val="24"/>
          <w:szCs w:val="24"/>
          <w:lang w:val="en-GB"/>
        </w:rPr>
        <w:t xml:space="preserve">3c3_9650 and WT were tested using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CountSpores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R package. Representative of 3 biological repeats; means are the average of 3 technical replicates. ** p&lt;0.01, *** p&lt;0.001.</w:t>
      </w:r>
    </w:p>
    <w:p w:rsidR="0056299B" w:rsidRDefault="0056299B" w:rsidP="0056299B">
      <w:pPr>
        <w:spacing w:line="360" w:lineRule="auto"/>
        <w:rPr>
          <w:rFonts w:ascii="Arial" w:hAnsi="Arial" w:cs="Arial"/>
          <w:sz w:val="24"/>
          <w:szCs w:val="24"/>
          <w:lang w:val="en-GB"/>
        </w:rPr>
      </w:pPr>
    </w:p>
    <w:p w:rsidR="0056299B" w:rsidRDefault="0056299B" w:rsidP="0056299B">
      <w:pPr>
        <w:rPr>
          <w:rFonts w:ascii="Arial" w:hAnsi="Arial" w:cs="Arial"/>
          <w:sz w:val="24"/>
          <w:szCs w:val="24"/>
          <w:lang w:val="en-GB"/>
        </w:rPr>
      </w:pPr>
      <w:r>
        <w:br w:type="page"/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US"/>
        </w:rPr>
        <w:lastRenderedPageBreak/>
        <w:drawing>
          <wp:inline distT="0" distB="0" distL="0" distR="0" wp14:anchorId="7AC5B9C2" wp14:editId="0E743699">
            <wp:extent cx="3368040" cy="5463540"/>
            <wp:effectExtent l="0" t="0" r="381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040" cy="5463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t>Figure S6 Immunoblot and yeast two hybrid approaches.</w:t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bCs/>
          <w:sz w:val="24"/>
          <w:szCs w:val="24"/>
          <w:lang w:val="en-GB"/>
        </w:rPr>
        <w:t xml:space="preserve">Controls linked to Figure 5. 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>
        <w:rPr>
          <w:rFonts w:ascii="Arial" w:hAnsi="Arial" w:cs="Arial"/>
          <w:b/>
          <w:sz w:val="24"/>
          <w:szCs w:val="24"/>
          <w:lang w:val="en-GB"/>
        </w:rPr>
        <w:t>(a)</w:t>
      </w:r>
      <w:r>
        <w:rPr>
          <w:rFonts w:ascii="Arial" w:hAnsi="Arial" w:cs="Arial"/>
          <w:sz w:val="24"/>
          <w:szCs w:val="24"/>
          <w:lang w:val="en-GB"/>
        </w:rPr>
        <w:t xml:space="preserve"> MYC-tagged </w:t>
      </w:r>
      <w:r w:rsidRPr="00863CDE">
        <w:rPr>
          <w:rStyle w:val="tlid-translation"/>
          <w:rFonts w:ascii="Arial" w:hAnsi="Arial" w:cs="Arial"/>
          <w:i/>
          <w:sz w:val="24"/>
          <w:szCs w:val="24"/>
          <w:lang w:val="en-GB"/>
        </w:rPr>
        <w:t>Pp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>DOG1-L1</w:t>
      </w:r>
      <w:r>
        <w:rPr>
          <w:rFonts w:ascii="Arial" w:hAnsi="Arial" w:cs="Arial"/>
          <w:sz w:val="24"/>
          <w:szCs w:val="24"/>
          <w:lang w:val="en-GB"/>
        </w:rPr>
        <w:t xml:space="preserve"> (60kDa) </w:t>
      </w:r>
      <w:r>
        <w:rPr>
          <w:rFonts w:ascii="Arial" w:hAnsi="Arial" w:cs="Arial"/>
          <w:iCs/>
          <w:sz w:val="24"/>
          <w:szCs w:val="24"/>
          <w:lang w:val="en-GB"/>
        </w:rPr>
        <w:t xml:space="preserve">was </w:t>
      </w:r>
      <w:r>
        <w:rPr>
          <w:rFonts w:ascii="Arial" w:hAnsi="Arial" w:cs="Arial"/>
          <w:sz w:val="24"/>
          <w:szCs w:val="24"/>
          <w:lang w:val="en-GB"/>
        </w:rPr>
        <w:t xml:space="preserve">expressed in yeast cells (anti-MYC western blot). CBB,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Coomassie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brilliant blue staining. </w:t>
      </w:r>
      <w:r>
        <w:rPr>
          <w:rFonts w:ascii="Arial" w:hAnsi="Arial" w:cs="Arial"/>
          <w:b/>
          <w:sz w:val="24"/>
          <w:szCs w:val="24"/>
          <w:lang w:val="en-GB"/>
        </w:rPr>
        <w:t>(b)</w:t>
      </w:r>
      <w:r w:rsidRPr="009426AF">
        <w:rPr>
          <w:rFonts w:ascii="Arial" w:hAnsi="Arial" w:cs="Arial"/>
          <w:bCs/>
          <w:sz w:val="24"/>
          <w:szCs w:val="24"/>
          <w:lang w:val="en-GB"/>
        </w:rPr>
        <w:t xml:space="preserve"> No </w:t>
      </w:r>
      <w:proofErr w:type="spellStart"/>
      <w:r w:rsidRPr="009426AF">
        <w:rPr>
          <w:rFonts w:ascii="Arial" w:hAnsi="Arial" w:cs="Arial"/>
          <w:bCs/>
          <w:sz w:val="24"/>
          <w:szCs w:val="24"/>
          <w:lang w:val="en-GB"/>
        </w:rPr>
        <w:t>autoactivation</w:t>
      </w:r>
      <w:proofErr w:type="spellEnd"/>
      <w:r w:rsidRPr="009426AF">
        <w:rPr>
          <w:rFonts w:ascii="Arial" w:hAnsi="Arial" w:cs="Arial"/>
          <w:bCs/>
          <w:sz w:val="24"/>
          <w:szCs w:val="24"/>
          <w:lang w:val="en-GB"/>
        </w:rPr>
        <w:t xml:space="preserve"> in the yeast system is seen with </w:t>
      </w:r>
      <w:proofErr w:type="spellStart"/>
      <w:r w:rsidRPr="009426AF">
        <w:rPr>
          <w:rFonts w:ascii="Arial" w:hAnsi="Arial" w:cs="Arial"/>
          <w:bCs/>
          <w:i/>
          <w:iCs/>
          <w:sz w:val="24"/>
          <w:szCs w:val="24"/>
          <w:lang w:val="en-GB"/>
        </w:rPr>
        <w:t>Pp</w:t>
      </w:r>
      <w:r w:rsidRPr="009426AF">
        <w:rPr>
          <w:rFonts w:ascii="Arial" w:hAnsi="Arial" w:cs="Arial"/>
          <w:bCs/>
          <w:sz w:val="24"/>
          <w:szCs w:val="24"/>
          <w:lang w:val="en-GB"/>
        </w:rPr>
        <w:t>DELLAs</w:t>
      </w:r>
      <w:proofErr w:type="spellEnd"/>
      <w:r w:rsidRPr="009426AF">
        <w:rPr>
          <w:rFonts w:ascii="Arial" w:hAnsi="Arial" w:cs="Arial"/>
          <w:bCs/>
          <w:sz w:val="24"/>
          <w:szCs w:val="24"/>
          <w:lang w:val="en-GB"/>
        </w:rPr>
        <w:t xml:space="preserve"> or </w:t>
      </w:r>
      <w:r w:rsidRPr="00863CDE">
        <w:rPr>
          <w:rStyle w:val="tlid-translation"/>
          <w:rFonts w:ascii="Arial" w:hAnsi="Arial" w:cs="Arial"/>
          <w:i/>
          <w:sz w:val="24"/>
          <w:szCs w:val="24"/>
          <w:lang w:val="en-GB"/>
        </w:rPr>
        <w:t>Pp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>DOG1-L1</w:t>
      </w:r>
      <w:r>
        <w:rPr>
          <w:rFonts w:ascii="Arial" w:hAnsi="Arial" w:cs="Arial"/>
          <w:bCs/>
          <w:sz w:val="24"/>
          <w:szCs w:val="24"/>
          <w:lang w:val="en-GB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  <w:lang w:val="en-GB"/>
        </w:rPr>
        <w:t>coexpressed</w:t>
      </w:r>
      <w:proofErr w:type="spellEnd"/>
      <w:r>
        <w:rPr>
          <w:rFonts w:ascii="Arial" w:hAnsi="Arial" w:cs="Arial"/>
          <w:bCs/>
          <w:sz w:val="24"/>
          <w:szCs w:val="24"/>
          <w:lang w:val="en-GB"/>
        </w:rPr>
        <w:t xml:space="preserve"> with empty vector controls</w:t>
      </w:r>
      <w:r w:rsidRPr="009426AF">
        <w:rPr>
          <w:rFonts w:ascii="Arial" w:hAnsi="Arial" w:cs="Arial"/>
          <w:bCs/>
          <w:sz w:val="24"/>
          <w:szCs w:val="24"/>
          <w:lang w:val="en-GB"/>
        </w:rPr>
        <w:t>.</w:t>
      </w:r>
      <w:r>
        <w:rPr>
          <w:rFonts w:ascii="Arial" w:hAnsi="Arial" w:cs="Arial"/>
          <w:b/>
          <w:sz w:val="24"/>
          <w:szCs w:val="24"/>
          <w:lang w:val="en-GB"/>
        </w:rPr>
        <w:t xml:space="preserve"> (c)</w:t>
      </w:r>
      <w:r>
        <w:rPr>
          <w:rFonts w:ascii="Arial" w:hAnsi="Arial" w:cs="Arial"/>
          <w:sz w:val="24"/>
          <w:szCs w:val="24"/>
          <w:lang w:val="en-GB"/>
        </w:rPr>
        <w:t xml:space="preserve"> MYC-tagged truncations of the </w:t>
      </w:r>
      <w:r>
        <w:rPr>
          <w:rFonts w:ascii="Arial" w:hAnsi="Arial" w:cs="Arial"/>
          <w:i/>
          <w:sz w:val="24"/>
          <w:szCs w:val="24"/>
          <w:lang w:val="en-GB"/>
        </w:rPr>
        <w:t>Pp</w:t>
      </w:r>
      <w:r>
        <w:rPr>
          <w:rFonts w:ascii="Arial" w:hAnsi="Arial" w:cs="Arial"/>
          <w:sz w:val="24"/>
          <w:szCs w:val="24"/>
          <w:lang w:val="en-GB"/>
        </w:rPr>
        <w:t xml:space="preserve">DOG1-like protein </w:t>
      </w:r>
      <w:r w:rsidRPr="00863CDE">
        <w:rPr>
          <w:rStyle w:val="tlid-translation"/>
          <w:rFonts w:ascii="Arial" w:hAnsi="Arial" w:cs="Arial"/>
          <w:i/>
          <w:sz w:val="24"/>
          <w:szCs w:val="24"/>
          <w:lang w:val="en-GB"/>
        </w:rPr>
        <w:t>Pp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>DOG1-L1</w:t>
      </w:r>
      <w:r>
        <w:rPr>
          <w:rFonts w:ascii="Arial" w:hAnsi="Arial" w:cs="Arial"/>
          <w:sz w:val="24"/>
          <w:szCs w:val="24"/>
          <w:lang w:val="en-GB"/>
        </w:rPr>
        <w:t xml:space="preserve"> harbouring either the DOG1 or ANK domain were expressed in yeast as detected by an anti-MYC western blot. CBB,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Coomassie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brilliant blue staining. </w:t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(d) No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autoactivation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is seen in the yeast system with truncated </w:t>
      </w:r>
      <w:r w:rsidRPr="00863CDE">
        <w:rPr>
          <w:rStyle w:val="tlid-translation"/>
          <w:rFonts w:ascii="Arial" w:hAnsi="Arial" w:cs="Arial"/>
          <w:i/>
          <w:sz w:val="24"/>
          <w:szCs w:val="24"/>
          <w:lang w:val="en-GB"/>
        </w:rPr>
        <w:t>Pp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>DOG1-L1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coexpressed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with empty pGADT7 vector.</w:t>
      </w:r>
    </w:p>
    <w:p w:rsidR="0056299B" w:rsidRDefault="0056299B" w:rsidP="0056299B">
      <w:pPr>
        <w:rPr>
          <w:rFonts w:ascii="Arial" w:hAnsi="Arial" w:cs="Arial"/>
          <w:sz w:val="24"/>
          <w:szCs w:val="24"/>
          <w:lang w:val="en-GB"/>
        </w:rPr>
      </w:pPr>
      <w:r w:rsidRPr="009426AF">
        <w:rPr>
          <w:lang w:val="en-US"/>
        </w:rPr>
        <w:br w:type="page"/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US"/>
        </w:rPr>
        <w:lastRenderedPageBreak/>
        <w:drawing>
          <wp:inline distT="0" distB="0" distL="0" distR="0" wp14:anchorId="1B5F4D72" wp14:editId="322ADB4B">
            <wp:extent cx="3352800" cy="6057900"/>
            <wp:effectExtent l="0" t="0" r="0" b="889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6057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t xml:space="preserve">Figure S7 </w:t>
      </w:r>
      <w:r w:rsidRPr="009426AF"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At</w:t>
      </w:r>
      <w:r>
        <w:rPr>
          <w:rFonts w:ascii="Arial" w:hAnsi="Arial" w:cs="Arial"/>
          <w:b/>
          <w:bCs/>
          <w:sz w:val="24"/>
          <w:szCs w:val="24"/>
          <w:lang w:val="en-GB"/>
        </w:rPr>
        <w:t xml:space="preserve">DOG1 cannot interact with DELLA proteins and </w:t>
      </w:r>
      <w:proofErr w:type="spellStart"/>
      <w:r w:rsidRPr="009426AF"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At</w:t>
      </w:r>
      <w:r>
        <w:rPr>
          <w:rFonts w:ascii="Arial" w:hAnsi="Arial" w:cs="Arial"/>
          <w:b/>
          <w:bCs/>
          <w:sz w:val="24"/>
          <w:szCs w:val="24"/>
          <w:lang w:val="en-GB"/>
        </w:rPr>
        <w:t>RGA</w:t>
      </w:r>
      <w:proofErr w:type="spellEnd"/>
      <w:r>
        <w:rPr>
          <w:rFonts w:ascii="Arial" w:hAnsi="Arial" w:cs="Arial"/>
          <w:b/>
          <w:bCs/>
          <w:sz w:val="24"/>
          <w:szCs w:val="24"/>
          <w:lang w:val="en-GB"/>
        </w:rPr>
        <w:t xml:space="preserve"> cannot interact with truncated DOG1 or ANK domains of </w:t>
      </w:r>
      <w:r w:rsidRPr="0020270C"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PpDOG1-L1</w:t>
      </w:r>
      <w:r>
        <w:rPr>
          <w:rFonts w:ascii="Arial" w:hAnsi="Arial" w:cs="Arial"/>
          <w:b/>
          <w:bCs/>
          <w:sz w:val="24"/>
          <w:szCs w:val="24"/>
          <w:lang w:val="en-GB"/>
        </w:rPr>
        <w:t xml:space="preserve">. </w:t>
      </w:r>
      <w:r>
        <w:rPr>
          <w:rFonts w:ascii="Arial" w:hAnsi="Arial" w:cs="Arial"/>
          <w:b/>
          <w:sz w:val="24"/>
          <w:szCs w:val="24"/>
          <w:lang w:val="en-GB"/>
        </w:rPr>
        <w:t>(a)</w:t>
      </w:r>
      <w:r>
        <w:rPr>
          <w:rFonts w:ascii="Arial" w:hAnsi="Arial" w:cs="Arial"/>
          <w:lang w:val="en-GB"/>
        </w:rPr>
        <w:t xml:space="preserve"> </w:t>
      </w:r>
      <w:r>
        <w:rPr>
          <w:rFonts w:ascii="Arial" w:hAnsi="Arial" w:cs="Arial"/>
          <w:sz w:val="24"/>
          <w:szCs w:val="24"/>
          <w:lang w:val="en-GB"/>
        </w:rPr>
        <w:t xml:space="preserve">Anti-MYC western blot showing that MYC-tagged </w:t>
      </w:r>
      <w:r>
        <w:rPr>
          <w:rFonts w:ascii="Arial" w:hAnsi="Arial" w:cs="Arial"/>
          <w:i/>
          <w:sz w:val="24"/>
          <w:szCs w:val="24"/>
          <w:lang w:val="en-GB"/>
        </w:rPr>
        <w:t>At</w:t>
      </w:r>
      <w:r>
        <w:rPr>
          <w:rFonts w:ascii="Arial" w:hAnsi="Arial" w:cs="Arial"/>
          <w:sz w:val="24"/>
          <w:szCs w:val="24"/>
          <w:lang w:val="en-GB"/>
        </w:rPr>
        <w:t xml:space="preserve">DOG1 (34kDa) is expressed in yeast cells.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Myc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-tagged </w:t>
      </w:r>
      <w:proofErr w:type="spellStart"/>
      <w:r>
        <w:rPr>
          <w:rFonts w:ascii="Arial" w:hAnsi="Arial" w:cs="Arial"/>
          <w:i/>
          <w:iCs/>
          <w:sz w:val="24"/>
          <w:szCs w:val="24"/>
          <w:lang w:val="en-GB"/>
        </w:rPr>
        <w:t>Pp</w:t>
      </w:r>
      <w:r>
        <w:rPr>
          <w:rFonts w:ascii="Arial" w:hAnsi="Arial" w:cs="Arial"/>
          <w:sz w:val="24"/>
          <w:szCs w:val="24"/>
          <w:lang w:val="en-GB"/>
        </w:rPr>
        <w:t>DELLAa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and </w:t>
      </w:r>
      <w:proofErr w:type="spellStart"/>
      <w:r>
        <w:rPr>
          <w:rFonts w:ascii="Arial" w:hAnsi="Arial" w:cs="Arial"/>
          <w:i/>
          <w:iCs/>
          <w:sz w:val="24"/>
          <w:szCs w:val="24"/>
          <w:lang w:val="en-GB"/>
        </w:rPr>
        <w:t>Pp</w:t>
      </w:r>
      <w:r>
        <w:rPr>
          <w:rFonts w:ascii="Arial" w:hAnsi="Arial" w:cs="Arial"/>
          <w:sz w:val="24"/>
          <w:szCs w:val="24"/>
          <w:lang w:val="en-GB"/>
        </w:rPr>
        <w:t>DELLAb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as well as </w:t>
      </w:r>
      <w:proofErr w:type="spellStart"/>
      <w:r>
        <w:rPr>
          <w:rFonts w:ascii="Arial" w:hAnsi="Arial" w:cs="Arial"/>
          <w:i/>
          <w:iCs/>
          <w:sz w:val="24"/>
          <w:szCs w:val="24"/>
          <w:lang w:val="en-GB"/>
        </w:rPr>
        <w:t>At</w:t>
      </w:r>
      <w:r>
        <w:rPr>
          <w:rFonts w:ascii="Arial" w:hAnsi="Arial" w:cs="Arial"/>
          <w:sz w:val="24"/>
          <w:szCs w:val="24"/>
          <w:lang w:val="en-GB"/>
        </w:rPr>
        <w:t>RGA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expression was shown elsewhere </w:t>
      </w:r>
      <w:r>
        <w:fldChar w:fldCharType="begin"/>
      </w:r>
      <w:r>
        <w:rPr>
          <w:rFonts w:ascii="Arial" w:hAnsi="Arial" w:cs="Arial"/>
          <w:sz w:val="24"/>
          <w:szCs w:val="24"/>
          <w:lang w:val="en-GB"/>
        </w:rPr>
        <w:instrText>ADDIN EN.CITE</w:instrText>
      </w:r>
      <w:r>
        <w:fldChar w:fldCharType="begin"/>
      </w:r>
      <w:r>
        <w:rPr>
          <w:rFonts w:ascii="Arial" w:hAnsi="Arial" w:cs="Arial"/>
          <w:sz w:val="24"/>
          <w:szCs w:val="24"/>
          <w:lang w:val="en-GB"/>
        </w:rPr>
        <w:instrText>ADDIN EN.CITE.DATA</w:instrText>
      </w:r>
      <w:r>
        <w:rPr>
          <w:rFonts w:ascii="Arial" w:hAnsi="Arial" w:cs="Arial"/>
          <w:sz w:val="24"/>
          <w:szCs w:val="24"/>
          <w:lang w:val="en-GB"/>
        </w:rPr>
        <w:fldChar w:fldCharType="end"/>
      </w:r>
      <w:r>
        <w:rPr>
          <w:rFonts w:ascii="Arial" w:hAnsi="Arial" w:cs="Arial"/>
          <w:sz w:val="24"/>
          <w:szCs w:val="24"/>
          <w:lang w:val="en-GB"/>
        </w:rPr>
        <w:fldChar w:fldCharType="separate"/>
      </w:r>
      <w:r>
        <w:rPr>
          <w:rFonts w:ascii="Arial" w:hAnsi="Arial" w:cs="Arial"/>
          <w:sz w:val="24"/>
          <w:szCs w:val="24"/>
          <w:lang w:val="en-GB"/>
        </w:rPr>
        <w:t>(</w:t>
      </w:r>
      <w:hyperlink w:anchor="_ENREF_60" w:tgtFrame="Phokas, 2023 #12276">
        <w:r>
          <w:rPr>
            <w:rFonts w:ascii="Arial" w:hAnsi="Arial" w:cs="Arial"/>
            <w:sz w:val="24"/>
            <w:szCs w:val="24"/>
            <w:lang w:val="en-GB"/>
          </w:rPr>
          <w:t>Phokas</w:t>
        </w:r>
        <w:r>
          <w:rPr>
            <w:rFonts w:ascii="Arial" w:hAnsi="Arial" w:cs="Arial"/>
            <w:i/>
            <w:sz w:val="24"/>
            <w:szCs w:val="24"/>
            <w:lang w:val="en-GB"/>
          </w:rPr>
          <w:t xml:space="preserve"> et al.</w:t>
        </w:r>
        <w:r>
          <w:rPr>
            <w:rFonts w:ascii="Arial" w:hAnsi="Arial" w:cs="Arial"/>
            <w:sz w:val="24"/>
            <w:szCs w:val="24"/>
            <w:lang w:val="en-GB"/>
          </w:rPr>
          <w:t xml:space="preserve"> 2023</w:t>
        </w:r>
      </w:hyperlink>
      <w:r>
        <w:rPr>
          <w:rFonts w:ascii="Arial" w:hAnsi="Arial" w:cs="Arial"/>
          <w:sz w:val="24"/>
          <w:szCs w:val="24"/>
          <w:lang w:val="en-GB"/>
        </w:rPr>
        <w:t>)</w:t>
      </w:r>
      <w:r>
        <w:rPr>
          <w:rFonts w:ascii="Arial" w:hAnsi="Arial" w:cs="Arial"/>
          <w:sz w:val="24"/>
          <w:szCs w:val="24"/>
          <w:lang w:val="en-GB"/>
        </w:rPr>
        <w:fldChar w:fldCharType="end"/>
      </w:r>
      <w:r>
        <w:rPr>
          <w:rFonts w:ascii="Arial" w:hAnsi="Arial" w:cs="Arial"/>
          <w:sz w:val="24"/>
          <w:szCs w:val="24"/>
          <w:lang w:val="en-GB"/>
        </w:rPr>
        <w:t xml:space="preserve">. CBB,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Coomassie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brilliant blue staining. </w:t>
      </w:r>
      <w:r>
        <w:rPr>
          <w:rFonts w:ascii="Arial" w:hAnsi="Arial" w:cs="Arial"/>
          <w:b/>
          <w:sz w:val="24"/>
          <w:szCs w:val="24"/>
          <w:lang w:val="en-GB"/>
        </w:rPr>
        <w:t>(b)</w:t>
      </w:r>
      <w:r>
        <w:rPr>
          <w:rFonts w:ascii="Arial" w:hAnsi="Arial" w:cs="Arial"/>
          <w:sz w:val="24"/>
          <w:szCs w:val="24"/>
          <w:lang w:val="en-GB"/>
        </w:rPr>
        <w:t xml:space="preserve"> Yeast two-hybrid assay between </w:t>
      </w:r>
      <w:proofErr w:type="spellStart"/>
      <w:r>
        <w:rPr>
          <w:rFonts w:ascii="Arial" w:hAnsi="Arial" w:cs="Arial"/>
          <w:i/>
          <w:sz w:val="24"/>
          <w:szCs w:val="24"/>
          <w:lang w:val="en-GB"/>
        </w:rPr>
        <w:t>At</w:t>
      </w:r>
      <w:r>
        <w:rPr>
          <w:rFonts w:ascii="Arial" w:hAnsi="Arial" w:cs="Arial"/>
          <w:sz w:val="24"/>
          <w:szCs w:val="24"/>
          <w:lang w:val="en-GB"/>
        </w:rPr>
        <w:t>RGA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or </w:t>
      </w:r>
      <w:proofErr w:type="spellStart"/>
      <w:r>
        <w:rPr>
          <w:rFonts w:ascii="Arial" w:hAnsi="Arial" w:cs="Arial"/>
          <w:i/>
          <w:sz w:val="24"/>
          <w:szCs w:val="24"/>
          <w:lang w:val="en-GB"/>
        </w:rPr>
        <w:t>Pp</w:t>
      </w:r>
      <w:r>
        <w:rPr>
          <w:rFonts w:ascii="Arial" w:hAnsi="Arial" w:cs="Arial"/>
          <w:sz w:val="24"/>
          <w:szCs w:val="24"/>
          <w:lang w:val="en-GB"/>
        </w:rPr>
        <w:t>DELLAs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in pGADT7 and </w:t>
      </w:r>
      <w:r>
        <w:rPr>
          <w:rFonts w:ascii="Arial" w:hAnsi="Arial" w:cs="Arial"/>
          <w:i/>
          <w:sz w:val="24"/>
          <w:szCs w:val="24"/>
          <w:lang w:val="en-GB"/>
        </w:rPr>
        <w:t>At</w:t>
      </w:r>
      <w:r>
        <w:rPr>
          <w:rFonts w:ascii="Arial" w:hAnsi="Arial" w:cs="Arial"/>
          <w:sz w:val="24"/>
          <w:szCs w:val="24"/>
          <w:lang w:val="en-GB"/>
        </w:rPr>
        <w:t xml:space="preserve">DOG1 in pGBKT7 plus empty vector controls. </w:t>
      </w:r>
      <w:proofErr w:type="spellStart"/>
      <w:r>
        <w:rPr>
          <w:rFonts w:ascii="Arial" w:hAnsi="Arial" w:cs="Arial"/>
          <w:i/>
          <w:sz w:val="24"/>
          <w:szCs w:val="24"/>
          <w:lang w:val="en-GB"/>
        </w:rPr>
        <w:t>At</w:t>
      </w:r>
      <w:r>
        <w:rPr>
          <w:rFonts w:ascii="Arial" w:hAnsi="Arial" w:cs="Arial"/>
          <w:sz w:val="24"/>
          <w:szCs w:val="24"/>
          <w:lang w:val="en-GB"/>
        </w:rPr>
        <w:t>RGA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and </w:t>
      </w:r>
      <w:proofErr w:type="spellStart"/>
      <w:r>
        <w:rPr>
          <w:rFonts w:ascii="Arial" w:hAnsi="Arial" w:cs="Arial"/>
          <w:i/>
          <w:sz w:val="24"/>
          <w:szCs w:val="24"/>
          <w:lang w:val="en-GB"/>
        </w:rPr>
        <w:t>Pp</w:t>
      </w:r>
      <w:r>
        <w:rPr>
          <w:rFonts w:ascii="Arial" w:hAnsi="Arial" w:cs="Arial"/>
          <w:sz w:val="24"/>
          <w:szCs w:val="24"/>
          <w:lang w:val="en-GB"/>
        </w:rPr>
        <w:t>DELLAs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do not interact with </w:t>
      </w:r>
      <w:r>
        <w:rPr>
          <w:rFonts w:ascii="Arial" w:hAnsi="Arial" w:cs="Arial"/>
          <w:i/>
          <w:sz w:val="24"/>
          <w:szCs w:val="24"/>
          <w:lang w:val="en-GB"/>
        </w:rPr>
        <w:t>At</w:t>
      </w:r>
      <w:r>
        <w:rPr>
          <w:rFonts w:ascii="Arial" w:hAnsi="Arial" w:cs="Arial"/>
          <w:sz w:val="24"/>
          <w:szCs w:val="24"/>
          <w:lang w:val="en-GB"/>
        </w:rPr>
        <w:t xml:space="preserve">DOG1. Representative results of three biological replicates are shown.  </w:t>
      </w:r>
      <w:r>
        <w:rPr>
          <w:rFonts w:ascii="Arial" w:hAnsi="Arial" w:cs="Arial"/>
          <w:b/>
          <w:sz w:val="24"/>
          <w:szCs w:val="24"/>
          <w:lang w:val="en-GB"/>
        </w:rPr>
        <w:t>(c)</w:t>
      </w:r>
      <w:r>
        <w:rPr>
          <w:rFonts w:ascii="Arial" w:hAnsi="Arial" w:cs="Arial"/>
          <w:sz w:val="24"/>
          <w:szCs w:val="24"/>
          <w:lang w:val="en-GB"/>
        </w:rPr>
        <w:t xml:space="preserve"> Yeast two-hybrid assay between </w:t>
      </w:r>
      <w:proofErr w:type="spellStart"/>
      <w:r>
        <w:rPr>
          <w:rFonts w:ascii="Arial" w:hAnsi="Arial" w:cs="Arial"/>
          <w:i/>
          <w:sz w:val="24"/>
          <w:szCs w:val="24"/>
          <w:lang w:val="en-GB"/>
        </w:rPr>
        <w:t>At</w:t>
      </w:r>
      <w:r>
        <w:rPr>
          <w:rFonts w:ascii="Arial" w:hAnsi="Arial" w:cs="Arial"/>
          <w:sz w:val="24"/>
          <w:szCs w:val="24"/>
          <w:lang w:val="en-GB"/>
        </w:rPr>
        <w:t>RGA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in pGADT7 and truncated </w:t>
      </w:r>
      <w:r w:rsidRPr="00863CDE">
        <w:rPr>
          <w:rStyle w:val="tlid-translation"/>
          <w:rFonts w:ascii="Arial" w:hAnsi="Arial" w:cs="Arial"/>
          <w:i/>
          <w:sz w:val="24"/>
          <w:szCs w:val="24"/>
          <w:lang w:val="en-GB"/>
        </w:rPr>
        <w:t>Pp</w:t>
      </w:r>
      <w:r>
        <w:rPr>
          <w:rStyle w:val="tlid-translation"/>
          <w:rFonts w:ascii="Arial" w:hAnsi="Arial" w:cs="Arial"/>
          <w:sz w:val="24"/>
          <w:szCs w:val="24"/>
          <w:lang w:val="en-GB"/>
        </w:rPr>
        <w:t>DOG1-L1</w:t>
      </w:r>
      <w:r>
        <w:rPr>
          <w:rFonts w:ascii="Arial" w:hAnsi="Arial" w:cs="Arial"/>
          <w:sz w:val="24"/>
          <w:szCs w:val="24"/>
          <w:lang w:val="en-GB"/>
        </w:rPr>
        <w:t xml:space="preserve"> in pGBKT7. Representative results of three biological replicates are shown.  DOG1, DOG1 domain; ANK, </w:t>
      </w:r>
      <w:proofErr w:type="spellStart"/>
      <w:r>
        <w:rPr>
          <w:rFonts w:ascii="Arial" w:hAnsi="Arial" w:cs="Arial"/>
          <w:sz w:val="24"/>
          <w:szCs w:val="24"/>
          <w:lang w:val="en-GB"/>
        </w:rPr>
        <w:t>ankyrin</w:t>
      </w:r>
      <w:proofErr w:type="spellEnd"/>
      <w:r>
        <w:rPr>
          <w:rFonts w:ascii="Arial" w:hAnsi="Arial" w:cs="Arial"/>
          <w:sz w:val="24"/>
          <w:szCs w:val="24"/>
          <w:lang w:val="en-GB"/>
        </w:rPr>
        <w:t xml:space="preserve"> repeats domain.</w:t>
      </w: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</w:p>
    <w:p w:rsidR="0056299B" w:rsidRDefault="0056299B" w:rsidP="0056299B">
      <w:pPr>
        <w:spacing w:line="360" w:lineRule="auto"/>
        <w:jc w:val="both"/>
        <w:rPr>
          <w:rStyle w:val="tlid-translation"/>
          <w:rFonts w:ascii="Arial" w:hAnsi="Arial" w:cs="Arial"/>
          <w:b/>
          <w:sz w:val="24"/>
          <w:szCs w:val="24"/>
          <w:lang w:val="en-GB"/>
        </w:rPr>
      </w:pPr>
      <w:r>
        <w:rPr>
          <w:rStyle w:val="tlid-translation"/>
          <w:rFonts w:ascii="Arial" w:hAnsi="Arial" w:cs="Arial"/>
          <w:b/>
          <w:sz w:val="24"/>
          <w:szCs w:val="24"/>
          <w:lang w:val="en-GB"/>
        </w:rPr>
        <w:t>Table S1: Primers used</w:t>
      </w:r>
    </w:p>
    <w:tbl>
      <w:tblPr>
        <w:tblStyle w:val="ListTable1Light1"/>
        <w:tblW w:w="9214" w:type="dxa"/>
        <w:tblLayout w:type="fixed"/>
        <w:tblLook w:val="04A0" w:firstRow="1" w:lastRow="0" w:firstColumn="1" w:lastColumn="0" w:noHBand="0" w:noVBand="1"/>
      </w:tblPr>
      <w:tblGrid>
        <w:gridCol w:w="2552"/>
        <w:gridCol w:w="4678"/>
        <w:gridCol w:w="1984"/>
      </w:tblGrid>
      <w:tr w:rsidR="0056299B" w:rsidTr="00767C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  <w:tcBorders>
              <w:bottom w:val="single" w:sz="4" w:space="0" w:color="666666"/>
            </w:tcBorders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Primer Name</w:t>
            </w:r>
          </w:p>
        </w:tc>
        <w:tc>
          <w:tcPr>
            <w:tcW w:w="4678" w:type="dxa"/>
            <w:tcBorders>
              <w:bottom w:val="single" w:sz="4" w:space="0" w:color="666666"/>
            </w:tcBorders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Primer Sequence 5`-&gt; 3`</w:t>
            </w:r>
          </w:p>
        </w:tc>
        <w:tc>
          <w:tcPr>
            <w:tcW w:w="1984" w:type="dxa"/>
            <w:tcBorders>
              <w:bottom w:val="single" w:sz="4" w:space="0" w:color="666666"/>
            </w:tcBorders>
          </w:tcPr>
          <w:p w:rsidR="0056299B" w:rsidRDefault="0056299B" w:rsidP="00767C68">
            <w:pPr>
              <w:widowControl w:val="0"/>
              <w:tabs>
                <w:tab w:val="left" w:pos="0"/>
              </w:tabs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Usage description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 xml:space="preserve">9650_HindIII_LB_FWD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AAGCTTAGCACAAGTGGGTATGGACCAG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tlid-translation"/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Left border, knock out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9650_LB_XhoI_REV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CTCGAGTTACCCTGAATACCTTCCCTTCC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tlid-translation"/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Left border, knock out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9650_SpeI_RB_FWD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ACTAGTACTGTACGGGTTAGGATGAGTAC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tlid-translation"/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Right border, knock out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9650_RB_AscI_REV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GGCGCGCCTGTCTGGAGCAAGAGTAGTCACC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tlid-translation"/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Right border, knock out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 xml:space="preserve">AT5G45830_AscI FWD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GGCGCGCCATGGGATCTTCATCAAAGAACATCGAACAAGCTCAA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Complementation </w:t>
            </w:r>
            <w:r>
              <w:rPr>
                <w:rFonts w:ascii="Arial" w:eastAsia="Calibri" w:hAnsi="Arial" w:cs="Arial"/>
                <w:i/>
                <w:sz w:val="20"/>
                <w:szCs w:val="20"/>
                <w:lang w:val="en-GB"/>
              </w:rPr>
              <w:t>AtDOG1</w:t>
            </w: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 in </w:t>
            </w:r>
            <w:r>
              <w:rPr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AT5G45830_AscI 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GGCGCGCCTCAATTTCTCTCATTATTTGTCGTCTCCGTGGGGCG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Complementation </w:t>
            </w:r>
            <w:r>
              <w:rPr>
                <w:rFonts w:ascii="Arial" w:eastAsia="Calibri" w:hAnsi="Arial" w:cs="Arial"/>
                <w:i/>
                <w:sz w:val="20"/>
                <w:szCs w:val="20"/>
                <w:lang w:val="en-GB"/>
              </w:rPr>
              <w:t>AtDOG1</w:t>
            </w: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 in </w:t>
            </w:r>
            <w:r>
              <w:rPr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</w:p>
        </w:tc>
      </w:tr>
      <w:tr w:rsidR="0056299B" w:rsidRPr="00BE4F2F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 xml:space="preserve">9650_ApaI_LB FWD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GGGCCCAGCACAAGTGGGTATGGACCAG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Left border complementation in </w:t>
            </w:r>
            <w:r>
              <w:rPr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</w:p>
        </w:tc>
      </w:tr>
      <w:tr w:rsidR="0056299B" w:rsidRPr="00BE4F2F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9650_LB_AscI 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CTCGAGGGCGCGCCTTACCCTGAATACCTTCCCTTCC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Left border complementation in </w:t>
            </w:r>
            <w:r>
              <w:rPr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</w:p>
        </w:tc>
      </w:tr>
      <w:tr w:rsidR="0056299B" w:rsidRPr="00BE4F2F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9650_NdeI_RB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CATATGACTGTACGGGTTAGGATGAGTAC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Right border complementation in </w:t>
            </w:r>
            <w:r>
              <w:rPr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</w:p>
        </w:tc>
      </w:tr>
      <w:tr w:rsidR="0056299B" w:rsidRPr="00BE4F2F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9650_RB_NotI 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GCGGCCGCTGTCTGGAGCAAGAGTAGTCACC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Right border complementation in </w:t>
            </w:r>
            <w:r>
              <w:rPr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 xml:space="preserve">9650_outLB FWD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AGCTTCAGAATCCGACGTG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Genotyping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p35ss_out 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TCTGGTCTTCTGAGACTGTATC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Genotyping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CamvTer</w:t>
            </w:r>
            <w:proofErr w:type="spellEnd"/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 xml:space="preserve"> FWD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caps/>
                <w:sz w:val="20"/>
                <w:szCs w:val="20"/>
                <w:lang w:val="en-GB" w:eastAsia="en-GB"/>
              </w:rPr>
              <w:t>agggtttcgctcatgtgttgag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Genotyping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9650_outRB_REV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TGTCTGGAGCAAGAGTAGTC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Genotyping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9650_midLB_FWD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TGATCTGCAGTATCTGACAACG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Genotyping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35s 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n-GB" w:eastAsia="en-GB"/>
              </w:rPr>
              <w:t>ACCACTGTCGGCAGAGGCATC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Genotyping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 xml:space="preserve">3c10_17080V3.1 </w:t>
            </w:r>
            <w:r>
              <w:rPr>
                <w:rStyle w:val="tlid-translation"/>
                <w:rFonts w:ascii="Arial" w:eastAsia="Calibri" w:hAnsi="Arial" w:cs="Arial"/>
                <w:i/>
                <w:sz w:val="20"/>
                <w:szCs w:val="20"/>
                <w:lang w:val="en-GB"/>
              </w:rPr>
              <w:t>ACTIN5</w:t>
            </w: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 xml:space="preserve"> FWD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TCTGGCGCCTATCTCTCTCC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Transcript validation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 xml:space="preserve">3c10_17080V3.1 </w:t>
            </w:r>
            <w:r>
              <w:rPr>
                <w:rStyle w:val="tlid-translation"/>
                <w:rFonts w:ascii="Arial" w:eastAsia="Calibri" w:hAnsi="Arial" w:cs="Arial"/>
                <w:i/>
                <w:sz w:val="20"/>
                <w:szCs w:val="20"/>
                <w:lang w:val="en-GB"/>
              </w:rPr>
              <w:t>ACTIN5</w:t>
            </w: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_REV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GCATCATCTCCCGCGAAACC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Transcript validation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3c3_9650V3.1 9650_FWD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>TCGTAACAATGGAGCGAAACC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Transcript validation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i/>
                <w:sz w:val="20"/>
                <w:szCs w:val="20"/>
                <w:lang w:val="en-GB"/>
              </w:rPr>
              <w:t>Pp</w:t>
            </w: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t xml:space="preserve">3c3_9650V3.1 </w:t>
            </w: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lastRenderedPageBreak/>
              <w:t>9650_REV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Style w:val="tlid-translation"/>
                <w:rFonts w:ascii="Arial" w:eastAsia="Calibri" w:hAnsi="Arial" w:cs="Arial"/>
                <w:sz w:val="20"/>
                <w:szCs w:val="20"/>
                <w:lang w:val="en-GB"/>
              </w:rPr>
              <w:lastRenderedPageBreak/>
              <w:t>CCTTCTGTCAACTCCATGTCC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Transcript </w:t>
            </w: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lastRenderedPageBreak/>
              <w:t>validation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lastRenderedPageBreak/>
              <w:t xml:space="preserve">M13_F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GTAAAACGACGGCCAG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Sequencing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 xml:space="preserve">M13_R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CAGGAAACAGCTATGAC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Sequencing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 xml:space="preserve">T7_F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TAATACGACTCACTATAGGG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Sequencing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 xml:space="preserve">NdeI-Pp3c3_9650_F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AAACATATGCGAGGGCCGGTGGTTCTGGATACGC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Transcripts, Y2H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 xml:space="preserve">SalI-Pp3c3_9650_R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AAAGTCGACTCAGCACATGGACCATTGATCACC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Transcripts, Y2H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 xml:space="preserve">SalI-Pp3c3_9650_DOG_R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AAAGTCGACAGAAGACCGTGCATTCGCGTCTCC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Transcripts, Y2H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 xml:space="preserve">NdeI-Pp3c3_9650_ANK_F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AAACATATGGGACATCCTGGAGTGAATATTTGG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Transcripts, Y2H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 xml:space="preserve">NdeI-AtDOG1_F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 xml:space="preserve">AAACATATGGGATCTTCATCAAAGAACATCG 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Transcripts, Y2H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 xml:space="preserve">EcoRI-AtDOG1_R 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ΑAAGAATTCTCAATTTCTCTCATTATTTGTCGTC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Transcripts, Y2H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  <w:vAlign w:val="center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eastAsia="DengXian" w:hAnsi="Arial" w:cs="Arial"/>
                <w:i/>
                <w:iCs/>
                <w:color w:val="000000"/>
                <w:sz w:val="20"/>
                <w:szCs w:val="20"/>
                <w:lang w:val="en-US" w:eastAsia="zh-CN"/>
              </w:rPr>
              <w:t>thioredoxin_F</w:t>
            </w:r>
            <w:proofErr w:type="spellEnd"/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TGCCCTCTTTTCAATTCCAC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qRT</w:t>
            </w:r>
            <w:proofErr w:type="spellEnd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-PCR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SimSun" w:hAnsi="Arial" w:cs="Arial"/>
                <w:i/>
                <w:iCs/>
                <w:sz w:val="20"/>
                <w:szCs w:val="20"/>
                <w:lang w:val="en-US" w:eastAsia="zh-CN"/>
              </w:rPr>
              <w:t>t</w:t>
            </w:r>
            <w:proofErr w:type="spellStart"/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>hioredoxin</w:t>
            </w:r>
            <w:proofErr w:type="spellEnd"/>
            <w:r>
              <w:rPr>
                <w:rFonts w:ascii="Arial" w:eastAsia="SimSun" w:hAnsi="Arial" w:cs="Arial"/>
                <w:i/>
                <w:iCs/>
                <w:sz w:val="20"/>
                <w:szCs w:val="20"/>
                <w:lang w:val="en-US" w:eastAsia="zh-CN"/>
              </w:rPr>
              <w:t>_</w:t>
            </w: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>R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ACAAAGTGCCGGTTTACGTC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qRT</w:t>
            </w:r>
            <w:proofErr w:type="spellEnd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-PCR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  <w:vAlign w:val="center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>Pp3c3_9650_F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CGAAGCAGGGATGATGTGGA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qRT</w:t>
            </w:r>
            <w:proofErr w:type="spellEnd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-PCR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>Pp3c3_9650_R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GAAGAAGTGCGTTGCTGCAT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qRT</w:t>
            </w:r>
            <w:proofErr w:type="spellEnd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-PCR</w:t>
            </w:r>
          </w:p>
        </w:tc>
      </w:tr>
      <w:tr w:rsidR="0056299B" w:rsidTr="00767C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  <w:vAlign w:val="center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DengXian" w:hAnsi="Arial" w:cs="Arial"/>
                <w:i/>
                <w:iCs/>
                <w:color w:val="000000"/>
                <w:sz w:val="20"/>
                <w:szCs w:val="20"/>
                <w:lang w:val="en-US" w:eastAsia="zh-CN"/>
              </w:rPr>
              <w:t>AtDOG1_F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GTGTGACTCAGTTTCTCCGC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qRT</w:t>
            </w:r>
            <w:proofErr w:type="spellEnd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-PCR</w:t>
            </w:r>
          </w:p>
        </w:tc>
      </w:tr>
      <w:tr w:rsidR="0056299B" w:rsidTr="00767C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52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rPr>
                <w:rFonts w:ascii="Arial" w:hAnsi="Arial" w:cs="Arial"/>
                <w:i/>
                <w:iCs/>
                <w:sz w:val="20"/>
                <w:szCs w:val="20"/>
                <w:lang w:val="en-GB"/>
              </w:rPr>
            </w:pPr>
            <w:r>
              <w:rPr>
                <w:rFonts w:ascii="Arial" w:eastAsia="DengXian" w:hAnsi="Arial" w:cs="Arial"/>
                <w:i/>
                <w:iCs/>
                <w:color w:val="000000"/>
                <w:sz w:val="20"/>
                <w:szCs w:val="20"/>
                <w:lang w:val="en-US" w:eastAsia="zh-CN"/>
              </w:rPr>
              <w:t>AtDOG1</w:t>
            </w:r>
            <w:r>
              <w:rPr>
                <w:rFonts w:ascii="Arial" w:eastAsia="SimSun" w:hAnsi="Arial" w:cs="Arial"/>
                <w:i/>
                <w:iCs/>
                <w:sz w:val="20"/>
                <w:szCs w:val="20"/>
                <w:lang w:val="en-US" w:eastAsia="zh-CN"/>
              </w:rPr>
              <w:t>_</w:t>
            </w:r>
            <w:r>
              <w:rPr>
                <w:rFonts w:ascii="Arial" w:eastAsia="Calibri" w:hAnsi="Arial" w:cs="Arial"/>
                <w:i/>
                <w:iCs/>
                <w:sz w:val="20"/>
                <w:szCs w:val="20"/>
                <w:lang w:val="en-GB"/>
              </w:rPr>
              <w:t>R</w:t>
            </w:r>
          </w:p>
        </w:tc>
        <w:tc>
          <w:tcPr>
            <w:tcW w:w="4678" w:type="dxa"/>
          </w:tcPr>
          <w:p w:rsidR="0056299B" w:rsidRDefault="0056299B" w:rsidP="00767C68">
            <w:pPr>
              <w:widowControl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val="en-GB"/>
              </w:rPr>
              <w:t>CACAGTGGCGATGGGAATAT</w:t>
            </w:r>
          </w:p>
        </w:tc>
        <w:tc>
          <w:tcPr>
            <w:tcW w:w="1984" w:type="dxa"/>
          </w:tcPr>
          <w:p w:rsidR="0056299B" w:rsidRDefault="0056299B" w:rsidP="00767C68">
            <w:pPr>
              <w:widowControl w:val="0"/>
              <w:tabs>
                <w:tab w:val="left" w:pos="447"/>
              </w:tabs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qRT</w:t>
            </w:r>
            <w:proofErr w:type="spellEnd"/>
            <w:r>
              <w:rPr>
                <w:rFonts w:ascii="Arial" w:eastAsia="SimSun" w:hAnsi="Arial" w:cs="Arial"/>
                <w:sz w:val="20"/>
                <w:szCs w:val="20"/>
                <w:lang w:val="en-US" w:eastAsia="zh-CN"/>
              </w:rPr>
              <w:t>-PCR</w:t>
            </w:r>
          </w:p>
        </w:tc>
      </w:tr>
    </w:tbl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</w:p>
    <w:p w:rsidR="0056299B" w:rsidRDefault="0056299B" w:rsidP="0056299B">
      <w:pPr>
        <w:spacing w:line="360" w:lineRule="auto"/>
        <w:jc w:val="both"/>
        <w:rPr>
          <w:rFonts w:ascii="Arial" w:hAnsi="Arial" w:cs="Arial"/>
          <w:sz w:val="24"/>
          <w:szCs w:val="24"/>
          <w:lang w:val="en-GB"/>
        </w:rPr>
      </w:pPr>
    </w:p>
    <w:p w:rsidR="009730BA" w:rsidRDefault="0056299B"/>
    <w:sectPr w:rsidR="009730BA">
      <w:pgSz w:w="11906" w:h="16838"/>
      <w:pgMar w:top="1417" w:right="1417" w:bottom="1134" w:left="1417" w:header="0" w:footer="0" w:gutter="0"/>
      <w:lnNumType w:countBy="1" w:distance="283" w:restart="continuous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SimSu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04FB"/>
    <w:rsid w:val="0056299B"/>
    <w:rsid w:val="008804FB"/>
    <w:rsid w:val="00C842EA"/>
    <w:rsid w:val="00DE3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237455F-9DD5-465A-87C4-F4DADA4072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6299B"/>
    <w:pPr>
      <w:suppressAutoHyphens/>
    </w:pPr>
    <w:rPr>
      <w:lang w:val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tlid-translation">
    <w:name w:val="tlid-translation"/>
    <w:basedOn w:val="DefaultParagraphFont"/>
    <w:qFormat/>
    <w:rsid w:val="0056299B"/>
  </w:style>
  <w:style w:type="character" w:styleId="Hyperlink">
    <w:name w:val="Hyperlink"/>
    <w:basedOn w:val="DefaultParagraphFont"/>
    <w:uiPriority w:val="99"/>
    <w:unhideWhenUsed/>
    <w:rsid w:val="0056299B"/>
    <w:rPr>
      <w:color w:val="0000FF"/>
      <w:u w:val="single"/>
    </w:rPr>
  </w:style>
  <w:style w:type="table" w:customStyle="1" w:styleId="ListTable1Light1">
    <w:name w:val="List Table 1 Light1"/>
    <w:basedOn w:val="TableNormal"/>
    <w:uiPriority w:val="46"/>
    <w:rsid w:val="0056299B"/>
    <w:pPr>
      <w:suppressAutoHyphens/>
      <w:spacing w:after="0" w:line="240" w:lineRule="auto"/>
    </w:pPr>
    <w:rPr>
      <w:lang w:val="de-DE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5629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990</Words>
  <Characters>5649</Characters>
  <Application>Microsoft Office Word</Application>
  <DocSecurity>0</DocSecurity>
  <Lines>47</Lines>
  <Paragraphs>13</Paragraphs>
  <ScaleCrop>false</ScaleCrop>
  <Company>SPS</Company>
  <LinksUpToDate>false</LinksUpToDate>
  <CharactersWithSpaces>6626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Vinoth</dc:creator>
  <cp:keywords/>
  <dc:description/>
  <cp:lastModifiedBy>Vinoth</cp:lastModifiedBy>
  <cp:revision>2</cp:revision>
  <dcterms:created xsi:type="dcterms:W3CDTF">2023-10-30T08:51:00Z</dcterms:created>
  <dcterms:modified xsi:type="dcterms:W3CDTF">2023-10-30T08:51:00Z</dcterms:modified>
</cp:coreProperties>
</file>