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51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5"/>
        <w:gridCol w:w="5376"/>
      </w:tblGrid>
      <w:tr w:rsidR="00E45119" w:rsidRPr="004F1D2B" w14:paraId="693E1F17" w14:textId="77777777" w:rsidTr="006D7005"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1FA0F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b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b/>
                <w:noProof/>
                <w:color w:val="000000" w:themeColor="text1"/>
                <w:sz w:val="16"/>
                <w:szCs w:val="16"/>
              </w:rPr>
              <w:t>Author (Year)</w:t>
            </w:r>
          </w:p>
        </w:tc>
        <w:tc>
          <w:tcPr>
            <w:tcW w:w="5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2DDA6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color w:val="000000" w:themeColor="text1"/>
                <w:sz w:val="16"/>
                <w:szCs w:val="16"/>
              </w:rPr>
              <w:t xml:space="preserve">Reason </w:t>
            </w:r>
            <w:r w:rsidRPr="004F1D2B">
              <w:rPr>
                <w:rFonts w:ascii="Arial" w:hAnsi="Arial"/>
                <w:b/>
                <w:noProof/>
                <w:color w:val="000000" w:themeColor="text1"/>
                <w:sz w:val="16"/>
                <w:szCs w:val="16"/>
              </w:rPr>
              <w:t>for exclusion</w:t>
            </w:r>
          </w:p>
        </w:tc>
      </w:tr>
      <w:tr w:rsidR="006D7005" w:rsidRPr="009D55D4" w14:paraId="179612C1" w14:textId="77777777" w:rsidTr="006D7005"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</w:tcPr>
          <w:p w14:paraId="26A12C48" w14:textId="77777777" w:rsidR="006D7005" w:rsidRPr="004F1D2B" w:rsidRDefault="006D7005" w:rsidP="006D700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Abdel et al. (2021)</w:t>
            </w:r>
          </w:p>
        </w:tc>
        <w:tc>
          <w:tcPr>
            <w:tcW w:w="5376" w:type="dxa"/>
            <w:tcBorders>
              <w:top w:val="single" w:sz="4" w:space="0" w:color="auto"/>
              <w:left w:val="nil"/>
              <w:right w:val="nil"/>
            </w:tcBorders>
          </w:tcPr>
          <w:p w14:paraId="102C8925" w14:textId="77777777" w:rsidR="006D7005" w:rsidRPr="004F1D2B" w:rsidRDefault="006D7005" w:rsidP="006D700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6D7005" w:rsidRPr="009D55D4" w14:paraId="366C73A3" w14:textId="77777777" w:rsidTr="006D7005">
        <w:tc>
          <w:tcPr>
            <w:tcW w:w="1995" w:type="dxa"/>
            <w:tcBorders>
              <w:left w:val="nil"/>
              <w:bottom w:val="nil"/>
              <w:right w:val="nil"/>
            </w:tcBorders>
          </w:tcPr>
          <w:p w14:paraId="5E8F441B" w14:textId="71EA9FEB" w:rsidR="006D7005" w:rsidRPr="004F1D2B" w:rsidRDefault="006D7005" w:rsidP="006D700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Allen et al. (1999</w:t>
            </w:r>
            <w:r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a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376" w:type="dxa"/>
            <w:tcBorders>
              <w:left w:val="nil"/>
              <w:bottom w:val="nil"/>
              <w:right w:val="nil"/>
            </w:tcBorders>
          </w:tcPr>
          <w:p w14:paraId="3934B765" w14:textId="77777777" w:rsidR="006D7005" w:rsidRPr="004F1D2B" w:rsidRDefault="006D7005" w:rsidP="006D700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6D7005" w:rsidRPr="009D55D4" w14:paraId="2C2A6828" w14:textId="77777777" w:rsidTr="004C5251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3FC5AD9" w14:textId="5105EEF5" w:rsidR="006D7005" w:rsidRPr="004F1D2B" w:rsidRDefault="006D7005" w:rsidP="006D700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Allen et al. (1999</w:t>
            </w:r>
            <w:r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633610AB" w14:textId="77777777" w:rsidR="006D7005" w:rsidRPr="004F1D2B" w:rsidRDefault="006D7005" w:rsidP="006D700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Cambria Math" w:hAnsi="Cambria Math" w:cs="Cambria Math"/>
                <w:noProof/>
                <w:color w:val="000000" w:themeColor="text1"/>
                <w:sz w:val="16"/>
                <w:szCs w:val="16"/>
                <w:lang w:val="en-US"/>
              </w:rPr>
              <w:t>△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 cannot be calculated from reported data</w:t>
            </w:r>
          </w:p>
        </w:tc>
      </w:tr>
      <w:tr w:rsidR="00E45119" w:rsidRPr="009D55D4" w14:paraId="6DE888D9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16B28F9E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Babbush et al. (2012)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5B3C664E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Insufficient data reporting for extraction, </w:t>
            </w:r>
          </w:p>
          <w:p w14:paraId="372DAA3C" w14:textId="77777777" w:rsidR="00E45119" w:rsidRPr="004F1D2B" w:rsidRDefault="00E45119" w:rsidP="00E45119">
            <w:pPr>
              <w:jc w:val="center"/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4EBAB2E6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0CD6F0DC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Bakke et al. (2002)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2CE2DD7F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Insufficient data reporting for extraction, </w:t>
            </w:r>
          </w:p>
          <w:p w14:paraId="1658261C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75034BE3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B6DFA44" w14:textId="3CD195A6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Boerrigter et al. (1995</w:t>
            </w:r>
            <w:r w:rsidR="00F5096C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a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7527054D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4E098BE0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1A83397B" w14:textId="4F66CC62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Boerrigter et al. (1995</w:t>
            </w:r>
            <w:r w:rsidR="00F5096C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3740DA75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5EA5A1CB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57952C50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Boven (2019)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10D1E0B1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03773A30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133CCB21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Cibirka et al. (1997)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1E49776C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61000D34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0FFFEFA6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Cooper et al. (2008)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68996D39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39216C" w:rsidRPr="009D55D4" w14:paraId="42A06AC9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7F0AA256" w14:textId="7035F1FE" w:rsidR="0039216C" w:rsidRPr="004F1D2B" w:rsidRDefault="0039216C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Enkling et al. (2017)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5602C084" w14:textId="1DB2D22E" w:rsidR="0039216C" w:rsidRPr="004F1D2B" w:rsidRDefault="0039216C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Same study cohort as other included study</w:t>
            </w:r>
          </w:p>
        </w:tc>
      </w:tr>
      <w:tr w:rsidR="00E45119" w:rsidRPr="009D55D4" w14:paraId="51257630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5A077A80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Geertmann et al. (1996)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6BF36EF1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Insufficient data reporting for extraction, </w:t>
            </w:r>
          </w:p>
          <w:p w14:paraId="74F409B6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398D14EA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2533FF02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Horbkirk et al. (2009)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56CAB4F6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1AE4DD96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4B786D2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Kapur et al. (1999)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6FBC03A6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6D7005" w:rsidRPr="009D55D4" w14:paraId="4CCD7E09" w14:textId="77777777" w:rsidTr="0021339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2B5D5F1D" w14:textId="77777777" w:rsidR="006D7005" w:rsidRPr="004F1D2B" w:rsidRDefault="006D7005" w:rsidP="006D700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Kho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 xml:space="preserve"> et al. (2013)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3816A304" w14:textId="77777777" w:rsidR="006D7005" w:rsidRPr="004F1D2B" w:rsidRDefault="006D7005" w:rsidP="006D700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Insufficient data reporting for extraction, </w:t>
            </w:r>
          </w:p>
          <w:p w14:paraId="5778B53B" w14:textId="77777777" w:rsidR="006D7005" w:rsidRPr="004F1D2B" w:rsidRDefault="006D7005" w:rsidP="006D700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4F4BA4DF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591574B8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Konstrom et al. (2017)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272B9DA6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Number of patients per cohort &lt; 10</w:t>
            </w:r>
          </w:p>
        </w:tc>
      </w:tr>
      <w:tr w:rsidR="00E45119" w:rsidRPr="009D55D4" w14:paraId="51FEA1D4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2400E85D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Limmer et al. (2014)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51DEFA19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Insufficient data reporting for extraction, </w:t>
            </w:r>
          </w:p>
          <w:p w14:paraId="722D6167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35691F66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30933422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Machado et al. (2017)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1A43C855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09484071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1CE66094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Meijer et al. (2009)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4D13BD0B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E45119" w:rsidRPr="009D55D4" w14:paraId="23C5E7A7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33DCE2AD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Mukilvannan et al. (2021)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3BF0E675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66C355DF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7A54C0A4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Muller et al. (2013)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206F3EA7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390C3F33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EC2379B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Naert et al. (2004)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2BDC2F38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190958DB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25E168C9" w14:textId="0322FACA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Nogueira et al. (2018</w:t>
            </w:r>
            <w:r w:rsidR="00F5096C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a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537DB804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Number of patients per cohort &lt; 10</w:t>
            </w:r>
          </w:p>
        </w:tc>
      </w:tr>
      <w:tr w:rsidR="00E45119" w:rsidRPr="009D55D4" w14:paraId="7DF400C3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16A29683" w14:textId="6FFBDAE4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Nogueira et al. (2018</w:t>
            </w:r>
            <w:r w:rsidR="00F5096C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b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7674E7F8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E45119" w:rsidRPr="009D55D4" w14:paraId="00D4784B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14CE39CB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Pan et al. (2008)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468BEB73" w14:textId="77777777" w:rsidR="00E45119" w:rsidRPr="004F1D2B" w:rsidRDefault="00E45119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Cambria Math" w:hAnsi="Cambria Math" w:cs="Cambria Math"/>
                <w:noProof/>
                <w:color w:val="000000" w:themeColor="text1"/>
                <w:sz w:val="16"/>
                <w:szCs w:val="16"/>
                <w:lang w:val="en-US"/>
              </w:rPr>
              <w:t>△</w:t>
            </w: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 xml:space="preserve"> cannot be calculated from reported data</w:t>
            </w:r>
          </w:p>
        </w:tc>
      </w:tr>
      <w:tr w:rsidR="00E45119" w:rsidRPr="004F1D2B" w14:paraId="7D445828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72177CBB" w14:textId="77777777" w:rsidR="00E45119" w:rsidRPr="004F1D2B" w:rsidRDefault="00E45119" w:rsidP="00E45119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Scepanovic et al. (2012)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0A190793" w14:textId="674B1E6C" w:rsidR="00E45119" w:rsidRPr="004F1D2B" w:rsidRDefault="00337D15" w:rsidP="00E4511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Follow-up &lt; 1 year</w:t>
            </w:r>
          </w:p>
        </w:tc>
      </w:tr>
      <w:tr w:rsidR="00337D15" w:rsidRPr="009D55D4" w14:paraId="684F9235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41F6FADB" w14:textId="77777777" w:rsidR="00337D15" w:rsidRPr="004F1D2B" w:rsidRDefault="00337D15" w:rsidP="00337D1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Schuster et al. (2019)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3B027502" w14:textId="35C54310" w:rsidR="00337D15" w:rsidRPr="00337D15" w:rsidRDefault="00337D15" w:rsidP="00337D1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337D15" w:rsidRPr="009D55D4" w14:paraId="27FB4963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4757AEEA" w14:textId="77777777" w:rsidR="00337D15" w:rsidRPr="004F1D2B" w:rsidRDefault="00337D15" w:rsidP="00337D1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Timmerman et al. (2004)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09DE15E9" w14:textId="77777777" w:rsidR="00337D15" w:rsidRPr="004F1D2B" w:rsidRDefault="00337D15" w:rsidP="00337D1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  <w:tr w:rsidR="0039216C" w:rsidRPr="009D55D4" w14:paraId="5BEF430A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5535BB13" w14:textId="3022E45B" w:rsidR="0039216C" w:rsidRPr="004F1D2B" w:rsidRDefault="0039216C" w:rsidP="00337D1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Walton et al. (2009)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0956A471" w14:textId="62BA6094" w:rsidR="0039216C" w:rsidRPr="004F1D2B" w:rsidRDefault="0039216C" w:rsidP="00337D1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Same study cohort as other included study</w:t>
            </w:r>
          </w:p>
        </w:tc>
      </w:tr>
      <w:tr w:rsidR="00337D15" w:rsidRPr="009D55D4" w14:paraId="25C99B23" w14:textId="77777777" w:rsidTr="00E45119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E3B2837" w14:textId="77777777" w:rsidR="00337D15" w:rsidRPr="004F1D2B" w:rsidRDefault="00337D15" w:rsidP="00337D1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Yunus et al. (2014)</w:t>
            </w:r>
          </w:p>
        </w:tc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6E82AA3B" w14:textId="77777777" w:rsidR="00337D15" w:rsidRPr="004F1D2B" w:rsidRDefault="00337D15" w:rsidP="00337D1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  <w:t>Insufficient data reporting for extraction</w:t>
            </w:r>
          </w:p>
        </w:tc>
      </w:tr>
      <w:tr w:rsidR="00337D15" w:rsidRPr="009D55D4" w14:paraId="08BA41BC" w14:textId="77777777" w:rsidTr="00E45119"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15160" w14:textId="77777777" w:rsidR="00337D15" w:rsidRPr="004F1D2B" w:rsidRDefault="00337D15" w:rsidP="00337D15">
            <w:pPr>
              <w:autoSpaceDE w:val="0"/>
              <w:autoSpaceDN w:val="0"/>
              <w:adjustRightInd w:val="0"/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</w:pPr>
            <w:r w:rsidRPr="004F1D2B">
              <w:rPr>
                <w:rFonts w:ascii="Arial" w:hAnsi="Arial"/>
                <w:noProof/>
                <w:color w:val="000000" w:themeColor="text1"/>
                <w:sz w:val="16"/>
                <w:szCs w:val="16"/>
              </w:rPr>
              <w:t>Zhang et al. (2019)</w:t>
            </w:r>
          </w:p>
        </w:tc>
        <w:tc>
          <w:tcPr>
            <w:tcW w:w="5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BAA8A" w14:textId="77777777" w:rsidR="00337D15" w:rsidRPr="004F1D2B" w:rsidRDefault="00337D15" w:rsidP="00337D1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noProof/>
                <w:color w:val="000000" w:themeColor="text1"/>
                <w:sz w:val="16"/>
                <w:szCs w:val="16"/>
                <w:lang w:val="en-US"/>
              </w:rPr>
            </w:pPr>
            <w:r w:rsidRPr="004F1D2B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Use of an individual/ self-designed questionnaire</w:t>
            </w:r>
          </w:p>
        </w:tc>
      </w:tr>
    </w:tbl>
    <w:p w14:paraId="339FDF20" w14:textId="6C78755A" w:rsidR="00BE07DA" w:rsidRDefault="00BE07DA">
      <w:pPr>
        <w:rPr>
          <w:lang w:val="en-US"/>
        </w:rPr>
      </w:pPr>
    </w:p>
    <w:p w14:paraId="643AF667" w14:textId="450BBF3C" w:rsidR="00E45119" w:rsidRPr="00E45119" w:rsidRDefault="00E45119" w:rsidP="00E45119">
      <w:pPr>
        <w:rPr>
          <w:lang w:val="en-US"/>
        </w:rPr>
      </w:pPr>
    </w:p>
    <w:p w14:paraId="6EB43743" w14:textId="12B8F6B6" w:rsidR="00E45119" w:rsidRPr="00E45119" w:rsidRDefault="00E45119" w:rsidP="00E45119">
      <w:pPr>
        <w:rPr>
          <w:lang w:val="en-US"/>
        </w:rPr>
      </w:pPr>
    </w:p>
    <w:p w14:paraId="5CDD50D9" w14:textId="31737F88" w:rsidR="00E45119" w:rsidRPr="00E45119" w:rsidRDefault="00E45119" w:rsidP="00E45119">
      <w:pPr>
        <w:rPr>
          <w:lang w:val="en-US"/>
        </w:rPr>
      </w:pPr>
    </w:p>
    <w:p w14:paraId="36F0510F" w14:textId="3C627F52" w:rsidR="00E45119" w:rsidRPr="00E45119" w:rsidRDefault="00E45119" w:rsidP="00E45119">
      <w:pPr>
        <w:rPr>
          <w:lang w:val="en-US"/>
        </w:rPr>
      </w:pPr>
    </w:p>
    <w:p w14:paraId="29BB4295" w14:textId="0FF62726" w:rsidR="00E45119" w:rsidRPr="00E45119" w:rsidRDefault="00E45119" w:rsidP="00E45119">
      <w:pPr>
        <w:rPr>
          <w:lang w:val="en-US"/>
        </w:rPr>
      </w:pPr>
    </w:p>
    <w:p w14:paraId="7148882F" w14:textId="069D79CD" w:rsidR="00E45119" w:rsidRPr="00E45119" w:rsidRDefault="00E45119" w:rsidP="00E45119">
      <w:pPr>
        <w:rPr>
          <w:lang w:val="en-US"/>
        </w:rPr>
      </w:pPr>
    </w:p>
    <w:p w14:paraId="6256515D" w14:textId="247C36DA" w:rsidR="00E45119" w:rsidRPr="00E45119" w:rsidRDefault="00E45119" w:rsidP="00E45119">
      <w:pPr>
        <w:rPr>
          <w:lang w:val="en-US"/>
        </w:rPr>
      </w:pPr>
    </w:p>
    <w:p w14:paraId="4C510969" w14:textId="5BE2CE2B" w:rsidR="00E45119" w:rsidRPr="00E45119" w:rsidRDefault="00E45119" w:rsidP="00E45119">
      <w:pPr>
        <w:rPr>
          <w:lang w:val="en-US"/>
        </w:rPr>
      </w:pPr>
    </w:p>
    <w:p w14:paraId="270C3D56" w14:textId="1B99CD6F" w:rsidR="00E45119" w:rsidRPr="00E45119" w:rsidRDefault="00E45119" w:rsidP="00E45119">
      <w:pPr>
        <w:rPr>
          <w:lang w:val="en-US"/>
        </w:rPr>
      </w:pPr>
    </w:p>
    <w:p w14:paraId="766ACFD9" w14:textId="7AB49E55" w:rsidR="00E45119" w:rsidRPr="00E45119" w:rsidRDefault="00E45119" w:rsidP="00E45119">
      <w:pPr>
        <w:rPr>
          <w:lang w:val="en-US"/>
        </w:rPr>
      </w:pPr>
    </w:p>
    <w:p w14:paraId="7E2B0F4C" w14:textId="54F6D084" w:rsidR="00E45119" w:rsidRPr="00E45119" w:rsidRDefault="00E45119" w:rsidP="00E45119">
      <w:pPr>
        <w:rPr>
          <w:lang w:val="en-US"/>
        </w:rPr>
      </w:pPr>
    </w:p>
    <w:p w14:paraId="1BAA462D" w14:textId="6E52E73D" w:rsidR="00E45119" w:rsidRPr="00E45119" w:rsidRDefault="00E45119" w:rsidP="00E45119">
      <w:pPr>
        <w:rPr>
          <w:lang w:val="en-US"/>
        </w:rPr>
      </w:pPr>
    </w:p>
    <w:p w14:paraId="7D7E0684" w14:textId="66CD03CA" w:rsidR="00E45119" w:rsidRPr="00E45119" w:rsidRDefault="00E45119" w:rsidP="00E45119">
      <w:pPr>
        <w:rPr>
          <w:lang w:val="en-US"/>
        </w:rPr>
      </w:pPr>
    </w:p>
    <w:p w14:paraId="621756BD" w14:textId="34678241" w:rsidR="00E45119" w:rsidRPr="00E45119" w:rsidRDefault="00E45119" w:rsidP="00E45119">
      <w:pPr>
        <w:rPr>
          <w:lang w:val="en-US"/>
        </w:rPr>
      </w:pPr>
    </w:p>
    <w:p w14:paraId="01FCB92E" w14:textId="5758CAB7" w:rsidR="00E45119" w:rsidRPr="00E45119" w:rsidRDefault="00E45119" w:rsidP="00E45119">
      <w:pPr>
        <w:rPr>
          <w:lang w:val="en-US"/>
        </w:rPr>
      </w:pPr>
    </w:p>
    <w:p w14:paraId="0465A062" w14:textId="49C6882C" w:rsidR="00E45119" w:rsidRPr="00E45119" w:rsidRDefault="00E45119" w:rsidP="00E45119">
      <w:pPr>
        <w:rPr>
          <w:lang w:val="en-US"/>
        </w:rPr>
      </w:pPr>
    </w:p>
    <w:p w14:paraId="6062DF24" w14:textId="4C175C24" w:rsidR="00E45119" w:rsidRPr="00E45119" w:rsidRDefault="00E45119" w:rsidP="00E45119">
      <w:pPr>
        <w:rPr>
          <w:lang w:val="en-US"/>
        </w:rPr>
      </w:pPr>
    </w:p>
    <w:p w14:paraId="3736B8C8" w14:textId="495B931E" w:rsidR="00E45119" w:rsidRPr="00E45119" w:rsidRDefault="00E45119" w:rsidP="00E45119">
      <w:pPr>
        <w:rPr>
          <w:lang w:val="en-US"/>
        </w:rPr>
      </w:pPr>
    </w:p>
    <w:p w14:paraId="5927C428" w14:textId="659D1FB3" w:rsidR="00E45119" w:rsidRPr="00E45119" w:rsidRDefault="00E45119" w:rsidP="00E45119">
      <w:pPr>
        <w:rPr>
          <w:lang w:val="en-US"/>
        </w:rPr>
      </w:pPr>
    </w:p>
    <w:p w14:paraId="57D608D1" w14:textId="491D1E41" w:rsidR="00E45119" w:rsidRPr="00E45119" w:rsidRDefault="00E45119" w:rsidP="00E45119">
      <w:pPr>
        <w:rPr>
          <w:lang w:val="en-US"/>
        </w:rPr>
      </w:pPr>
    </w:p>
    <w:p w14:paraId="7D1E85C4" w14:textId="16FEAE76" w:rsidR="00E45119" w:rsidRPr="00E45119" w:rsidRDefault="00E45119" w:rsidP="00E45119">
      <w:pPr>
        <w:rPr>
          <w:lang w:val="en-US"/>
        </w:rPr>
      </w:pPr>
    </w:p>
    <w:p w14:paraId="43779AE4" w14:textId="5E7DF53E" w:rsidR="00E45119" w:rsidRPr="00E45119" w:rsidRDefault="00E45119" w:rsidP="00E45119">
      <w:pPr>
        <w:rPr>
          <w:lang w:val="en-US"/>
        </w:rPr>
      </w:pPr>
    </w:p>
    <w:p w14:paraId="21363241" w14:textId="37329C37" w:rsidR="00E45119" w:rsidRPr="00E45119" w:rsidRDefault="00E45119" w:rsidP="00E45119">
      <w:pPr>
        <w:rPr>
          <w:lang w:val="en-US"/>
        </w:rPr>
      </w:pPr>
    </w:p>
    <w:p w14:paraId="2B9FB117" w14:textId="2859814B" w:rsidR="00E45119" w:rsidRPr="00E45119" w:rsidRDefault="00E45119" w:rsidP="00E45119">
      <w:pPr>
        <w:rPr>
          <w:lang w:val="en-US"/>
        </w:rPr>
      </w:pPr>
    </w:p>
    <w:p w14:paraId="0CC1EE18" w14:textId="06D7CC04" w:rsidR="00E45119" w:rsidRPr="00E45119" w:rsidRDefault="00E45119" w:rsidP="00E45119">
      <w:pPr>
        <w:rPr>
          <w:lang w:val="en-US"/>
        </w:rPr>
      </w:pPr>
    </w:p>
    <w:p w14:paraId="1F5E2124" w14:textId="792A2CDA" w:rsidR="00E45119" w:rsidRPr="00E45119" w:rsidRDefault="00E45119" w:rsidP="00E45119">
      <w:pPr>
        <w:rPr>
          <w:lang w:val="en-US"/>
        </w:rPr>
      </w:pPr>
    </w:p>
    <w:p w14:paraId="457C7DFE" w14:textId="77777777" w:rsidR="0039216C" w:rsidRDefault="0039216C" w:rsidP="00E45119">
      <w:pPr>
        <w:rPr>
          <w:lang w:val="en-US"/>
        </w:rPr>
      </w:pPr>
    </w:p>
    <w:p w14:paraId="4DF9DB91" w14:textId="77777777" w:rsidR="0039216C" w:rsidRDefault="0039216C" w:rsidP="00E45119">
      <w:pPr>
        <w:rPr>
          <w:lang w:val="en-US"/>
        </w:rPr>
      </w:pPr>
    </w:p>
    <w:p w14:paraId="34B37C99" w14:textId="45ABC552" w:rsidR="00E45119" w:rsidRPr="004F1D2B" w:rsidRDefault="00E45119" w:rsidP="00E45119">
      <w:pPr>
        <w:rPr>
          <w:lang w:val="en-US"/>
        </w:rPr>
      </w:pPr>
      <w:r>
        <w:rPr>
          <w:lang w:val="en-US"/>
        </w:rPr>
        <w:t>Overview of excluded studies during the data extraction process, including reasons for exclusion</w:t>
      </w:r>
    </w:p>
    <w:p w14:paraId="328B747B" w14:textId="2B006961" w:rsidR="00E45119" w:rsidRPr="00E45119" w:rsidRDefault="00E45119" w:rsidP="00E45119">
      <w:pPr>
        <w:rPr>
          <w:lang w:val="en-US"/>
        </w:rPr>
      </w:pPr>
    </w:p>
    <w:p w14:paraId="49D767C8" w14:textId="348908A6" w:rsidR="00E45119" w:rsidRDefault="0039216C" w:rsidP="00E45119">
      <w:pPr>
        <w:rPr>
          <w:lang w:val="en-US"/>
        </w:rPr>
      </w:pPr>
      <w:r>
        <w:rPr>
          <w:lang w:val="en-US"/>
        </w:rPr>
        <w:t>References</w:t>
      </w:r>
    </w:p>
    <w:p w14:paraId="73695DF2" w14:textId="77777777" w:rsidR="0039216C" w:rsidRPr="00E45119" w:rsidRDefault="0039216C" w:rsidP="00E45119">
      <w:pPr>
        <w:rPr>
          <w:lang w:val="en-US"/>
        </w:rPr>
      </w:pPr>
    </w:p>
    <w:p w14:paraId="6B8FB43D" w14:textId="27C55C17" w:rsidR="006D7005" w:rsidRPr="005620EC" w:rsidRDefault="006D7005" w:rsidP="003921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Abdel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AaL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M., Naguib, A., Salah, A.,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Foda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K.,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Sheta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N., &amp; Abdel Nabi, N. (2021). Masticatory Ability for a Single Implant Mandibular Overdenture Retained by Two Different Attachments: A Randomized Controlled Trial.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International journal of dentistry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2021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1632848.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0E8A5F56" w14:textId="77777777" w:rsidR="006D7005" w:rsidRPr="005620EC" w:rsidRDefault="006D7005" w:rsidP="0039216C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4A49E53D" w14:textId="596A9B6C" w:rsidR="0039216C" w:rsidRPr="005620EC" w:rsidRDefault="0039216C" w:rsidP="0039216C">
      <w:pPr>
        <w:rPr>
          <w:rFonts w:ascii="Arial" w:hAnsi="Arial" w:cs="Arial"/>
          <w:color w:val="212121"/>
          <w:sz w:val="20"/>
          <w:szCs w:val="20"/>
          <w:shd w:val="clear" w:color="auto" w:fill="FFFFFF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Allen, P. F., McMillan, A. S.,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Walshaw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D. (1999</w:t>
      </w:r>
      <w:r w:rsidR="006D7005"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). Patient expectations of oral implant-retained prostheses in a UK dental hospital.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</w:rPr>
        <w:t xml:space="preserve">British dental </w:t>
      </w:r>
      <w:proofErr w:type="spellStart"/>
      <w:r w:rsidRPr="005620EC">
        <w:rPr>
          <w:rFonts w:ascii="Arial" w:hAnsi="Arial" w:cs="Arial"/>
          <w:i/>
          <w:iCs/>
          <w:color w:val="212121"/>
          <w:sz w:val="20"/>
          <w:szCs w:val="20"/>
        </w:rPr>
        <w:t>journal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</w:rPr>
        <w:t>186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>(2), 80–84.</w:t>
      </w:r>
    </w:p>
    <w:p w14:paraId="2FB829F5" w14:textId="69D9597F" w:rsidR="0039216C" w:rsidRPr="005620EC" w:rsidRDefault="0039216C" w:rsidP="0039216C">
      <w:pPr>
        <w:rPr>
          <w:rFonts w:ascii="Arial" w:hAnsi="Arial" w:cs="Arial"/>
          <w:color w:val="212121"/>
          <w:sz w:val="20"/>
          <w:szCs w:val="20"/>
          <w:shd w:val="clear" w:color="auto" w:fill="FFFFFF"/>
        </w:rPr>
      </w:pPr>
    </w:p>
    <w:p w14:paraId="1E28ED49" w14:textId="2323DEF1" w:rsidR="006D7005" w:rsidRPr="009D55D4" w:rsidRDefault="006D7005" w:rsidP="006D7005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 xml:space="preserve">Allen, P. F., McMillan, A. S.,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>Walshaw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 xml:space="preserve">, D., &amp; Locker, D. (1999b). 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 comparison of the validity of generic- and disease-specific measures in the assessment of oral health-related quality of life.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Community dentistry and oral epidemiology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27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(5), 344–352.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524B401E" w14:textId="77777777" w:rsidR="006D7005" w:rsidRPr="009D55D4" w:rsidRDefault="006D7005" w:rsidP="0039216C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3CF3781F" w14:textId="77777777" w:rsidR="0039216C" w:rsidRPr="005620EC" w:rsidRDefault="0039216C" w:rsidP="003921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Babbush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C. A. (2012). Posttreatment quantification of patient experiences with full-arch implant treatment using a modification of the OHIP-14 questionnaire.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Journal of oral implantology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38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(3), 251–260.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5B1B6045" w14:textId="63541AFF" w:rsidR="0039216C" w:rsidRPr="005620EC" w:rsidRDefault="0039216C" w:rsidP="0039216C">
      <w:pPr>
        <w:rPr>
          <w:rFonts w:ascii="Arial" w:hAnsi="Arial" w:cs="Arial"/>
          <w:sz w:val="20"/>
          <w:szCs w:val="20"/>
          <w:lang w:val="en-US"/>
        </w:rPr>
      </w:pPr>
    </w:p>
    <w:p w14:paraId="6926388A" w14:textId="77777777" w:rsidR="0039216C" w:rsidRPr="009D55D4" w:rsidRDefault="0039216C" w:rsidP="003921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Bakke, M., Holm, B.,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Gotfredsen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K. (2002). Masticatory function and patient satisfaction with implant-supported mandibular overdentures: a prospective 5-year study.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prosthodontics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15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(6), 575–581.</w:t>
      </w:r>
    </w:p>
    <w:p w14:paraId="00289519" w14:textId="62200E42" w:rsidR="0039216C" w:rsidRPr="005620EC" w:rsidRDefault="0039216C" w:rsidP="0039216C">
      <w:pPr>
        <w:rPr>
          <w:rFonts w:ascii="Arial" w:hAnsi="Arial" w:cs="Arial"/>
          <w:sz w:val="20"/>
          <w:szCs w:val="20"/>
          <w:lang w:val="en-US"/>
        </w:rPr>
      </w:pPr>
    </w:p>
    <w:p w14:paraId="4F4A56A2" w14:textId="322C79BA" w:rsidR="0039216C" w:rsidRPr="005620EC" w:rsidRDefault="0039216C" w:rsidP="0039216C">
      <w:pPr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Boerrigter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E. M.,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Stegenga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B.,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Raghoebar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 M.,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Boering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G. (1995</w:t>
      </w:r>
      <w:r w:rsidR="006D7005"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). Patient satisfaction and chewing ability with implant-retained mandibular overdentures: a comparison with new complete 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lastRenderedPageBreak/>
        <w:t xml:space="preserve">dentures with or without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preprosthetic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surgery.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 xml:space="preserve">Journal of oral and maxillofacial </w:t>
      </w:r>
      <w:proofErr w:type="gramStart"/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surgery :</w:t>
      </w:r>
      <w:proofErr w:type="gramEnd"/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 xml:space="preserve"> official journal of the American Association of Oral and Maxillofacial Surgeons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53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(10), 1167–1173.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49FCDE6B" w14:textId="04ED8052" w:rsidR="0039216C" w:rsidRPr="005620EC" w:rsidRDefault="0039216C" w:rsidP="0039216C">
      <w:pPr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38C0E6F3" w14:textId="6F46948E" w:rsidR="0039216C" w:rsidRPr="005620EC" w:rsidRDefault="0039216C" w:rsidP="003921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Boerrigter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E. M.,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Geertman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 E., Van Oort, R. P., Bouma, J.,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Raghoebar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 M., van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Waas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 A.,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van't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Hof, M. A.,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Boering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Kalk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W. (1995</w:t>
      </w:r>
      <w:r w:rsidR="006D7005"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). Patient satisfaction with implant-retained mandibular overdentures. A comparison with new complete dentures not retained by implants--a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multicentre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randomized clinical trial.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British journal of oral &amp; maxillofacial surgery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33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(5), 282–288.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26608E47" w14:textId="77777777" w:rsidR="0039216C" w:rsidRPr="005620EC" w:rsidRDefault="0039216C" w:rsidP="0039216C">
      <w:pPr>
        <w:rPr>
          <w:rFonts w:ascii="Arial" w:hAnsi="Arial" w:cs="Arial"/>
          <w:sz w:val="20"/>
          <w:szCs w:val="20"/>
          <w:lang w:val="en-US"/>
        </w:rPr>
      </w:pPr>
    </w:p>
    <w:p w14:paraId="5DA68477" w14:textId="77777777" w:rsidR="006D7005" w:rsidRPr="005620EC" w:rsidRDefault="006D7005" w:rsidP="006D7005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Boven GC,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Speksnijder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CM, Meijer HJA,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Vissink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A,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Raghoebar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GM. Masticatory ability improves after maxillary implant overdenture treatment: A randomized controlled trial with 1-year follow-up. Clin Implant Dent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Relat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Res. 2019 Apr;21(2):369-376. </w:t>
      </w:r>
    </w:p>
    <w:p w14:paraId="73894E1C" w14:textId="77777777" w:rsidR="006D7005" w:rsidRPr="005620EC" w:rsidRDefault="006D7005" w:rsidP="006D7005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42A03C7B" w14:textId="77777777" w:rsidR="006D7005" w:rsidRPr="009D55D4" w:rsidRDefault="006D7005" w:rsidP="006D7005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Cibirka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R. M.,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Razzoog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M., &amp; Lang, B. R. (1997). Critical evaluation of patient responses to dental implant therapy.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Journal of prosthetic dentistry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78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(6), 574–581.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42593416" w14:textId="183D09A9" w:rsidR="006D7005" w:rsidRPr="005620EC" w:rsidRDefault="006D7005" w:rsidP="006D7005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68B394C0" w14:textId="77777777" w:rsidR="006D7005" w:rsidRPr="009D55D4" w:rsidRDefault="006D7005" w:rsidP="006D7005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Cooper, L. F., Moriarty, J. D.,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Guckes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A. D., Klee, L. B., Smith, R. G., Almgren, C., &amp; Felton, D. A. (2008). Five-year prospective evaluation of mandibular overdentures retained by two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microthreaded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TiOblast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nonsplinted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implants and retentive ball anchors.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oral &amp; maxillofacial implants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23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(4), 696–704.</w:t>
      </w:r>
    </w:p>
    <w:p w14:paraId="78A85D1A" w14:textId="77777777" w:rsidR="006D7005" w:rsidRPr="005620EC" w:rsidRDefault="006D7005" w:rsidP="006D7005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573B64D3" w14:textId="75867591" w:rsidR="006D7005" w:rsidRPr="009D55D4" w:rsidRDefault="006D7005" w:rsidP="006D7005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Enkling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N.,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Saftig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Worni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A.,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Mericske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-Stern, R., &amp; Schimmel, M. (2017). 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Chewing efficiency, bite force and oral health-related quality of life with narrow diameter implants - a prospective clinical study: results after one year.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Clinical oral implants research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28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(4), 476–482.</w:t>
      </w:r>
    </w:p>
    <w:p w14:paraId="02CFDBD6" w14:textId="1C97CD05" w:rsidR="0039216C" w:rsidRPr="005620EC" w:rsidRDefault="0039216C" w:rsidP="0039216C">
      <w:pPr>
        <w:rPr>
          <w:rFonts w:ascii="Arial" w:hAnsi="Arial" w:cs="Arial"/>
          <w:sz w:val="20"/>
          <w:szCs w:val="20"/>
          <w:lang w:val="en-US"/>
        </w:rPr>
      </w:pPr>
    </w:p>
    <w:p w14:paraId="530E3A11" w14:textId="77777777" w:rsidR="006D7005" w:rsidRPr="009D55D4" w:rsidRDefault="006D7005" w:rsidP="006D7005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Geertman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 E.,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Boerrigter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E. M.,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Van't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Hof, M. A., Van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Waas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 A., van Oort, R. P.,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Boering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Kalk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W. (1996). Two-center clinical trial of implant-retained mandibular overdentures versus complete dentures-chewing ability.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Community dentistry and oral epidemiology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24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(1), 79–84.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06A0EE8B" w14:textId="63D6820E" w:rsidR="006D7005" w:rsidRPr="005620EC" w:rsidRDefault="006D7005" w:rsidP="0039216C">
      <w:pPr>
        <w:rPr>
          <w:rFonts w:ascii="Arial" w:hAnsi="Arial" w:cs="Arial"/>
          <w:sz w:val="20"/>
          <w:szCs w:val="20"/>
          <w:lang w:val="en-US"/>
        </w:rPr>
      </w:pPr>
    </w:p>
    <w:p w14:paraId="29C5C56E" w14:textId="3337A86B" w:rsidR="006D7005" w:rsidRPr="009D55D4" w:rsidRDefault="006D7005" w:rsidP="006D7005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Hobkirk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J. A., Abdel-Latif, H. H., Howlett, J., Welfare, R., &amp; Moles, D. R. (2008). Prosthetic treatment time and satisfaction of edentulous patients treated with conventional or implant-supported complete mandibular dentures: a case-control study (part 1).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prosthodontics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21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(6), 489–495.</w:t>
      </w:r>
    </w:p>
    <w:p w14:paraId="7944E5C3" w14:textId="632F6253" w:rsidR="00F5096C" w:rsidRPr="009D55D4" w:rsidRDefault="00F5096C" w:rsidP="006D7005">
      <w:pPr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33BEB23B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Kapur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K. K., Garrett, N. R., Hamada, M. O.,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Roumanas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E. D.,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Freymiller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E., Han, T., Diener, R. M., Levin, S., &amp; Wong, W. K. (1999). 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Randomized clinical trial comparing the efficacy of mandibular implant-supported overdentures and conventional dentures in diabetic patients. Part III: comparisons of patient satisfaction.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Journal of prosthetic dentistry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82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(4), 416–427.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374831CC" w14:textId="2333E7DA" w:rsidR="006D7005" w:rsidRPr="005620EC" w:rsidRDefault="006D7005" w:rsidP="0039216C">
      <w:pPr>
        <w:rPr>
          <w:rFonts w:ascii="Arial" w:hAnsi="Arial" w:cs="Arial"/>
          <w:sz w:val="20"/>
          <w:szCs w:val="20"/>
          <w:lang w:val="en-US"/>
        </w:rPr>
      </w:pPr>
    </w:p>
    <w:p w14:paraId="2BED04E8" w14:textId="3EE214BE" w:rsidR="00F5096C" w:rsidRPr="009D55D4" w:rsidRDefault="00F5096C" w:rsidP="00F5096C">
      <w:pPr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Khoo, H. D., Chai, J., &amp; Chow, T. W. (2013). Prosthetic outcome, patient complaints, and nutritional effects on elderly patients with magnet-retained, implant-supported overdentures--a 1-year report.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oral &amp; maxillofacial implants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28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(5), 1278–1285.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02429C69" w14:textId="50772463" w:rsidR="00F5096C" w:rsidRPr="009D55D4" w:rsidRDefault="00F5096C" w:rsidP="00F5096C">
      <w:pPr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</w:pPr>
    </w:p>
    <w:p w14:paraId="1C87C6BB" w14:textId="77777777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Kronstrom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M., Davis, B.,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Loney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R.,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Gerrow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J.,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Hollender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L. (2017). Satisfaction and Clinical Outcomes Among Patients with Immediately Loaded Mandibular Overdentures Supported by One or Two Dental Implants: Results of a 5-Year Prospective Randomized Clinical Trial.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oral &amp; maxillofacial implants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32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(1), 128–136.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05BBC54F" w14:textId="1FDFC130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</w:p>
    <w:p w14:paraId="5E82AD91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Limmer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B., Sanders, A. E., Reside, G., &amp; Cooper, L. F. (2014). Complications and patient-centered outcomes with an implant-supported monolithic zirconia fixed dental prosthesis: </w:t>
      </w:r>
      <w:proofErr w:type="gram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1 year</w:t>
      </w:r>
      <w:proofErr w:type="gram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results.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 xml:space="preserve">Journal of </w:t>
      </w:r>
      <w:proofErr w:type="gramStart"/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prosthodontics :</w:t>
      </w:r>
      <w:proofErr w:type="gramEnd"/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 xml:space="preserve"> official journal of the American College of Prosthodontists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23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(4), 267–275.</w:t>
      </w:r>
    </w:p>
    <w:p w14:paraId="66030C54" w14:textId="56496FE9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</w:p>
    <w:p w14:paraId="5EB782C6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Marcello-Machado, R. M.,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Faot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F., Schuster, A. J.,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Bielemann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A. M., Nascimento, G. G., &amp; Del Bel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Cury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A. A. (2018). How fast can treatment with overdentures improve the masticatory function and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OHRQoL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of atrophic edentulous patients? A 1-year longitudinal clinical study.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Clinical oral implants research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29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(2), 215–226</w:t>
      </w:r>
    </w:p>
    <w:p w14:paraId="5A572E7C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</w:p>
    <w:p w14:paraId="48D1E4A1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Meijer, H. J.,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Raghoebar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 M.,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Batenburg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R. H., Visser, A.,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Vissink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A. (2009). Mandibular overdentures supported by two or four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endosseous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implants: a 10-year clinical trial.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Clinical oral implants research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20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(7), 722–728.</w:t>
      </w:r>
    </w:p>
    <w:p w14:paraId="19525656" w14:textId="373CCEC7" w:rsidR="006D7005" w:rsidRPr="005620EC" w:rsidRDefault="006D7005" w:rsidP="0039216C">
      <w:pPr>
        <w:rPr>
          <w:rFonts w:ascii="Arial" w:hAnsi="Arial" w:cs="Arial"/>
          <w:sz w:val="20"/>
          <w:szCs w:val="20"/>
          <w:lang w:val="en-US"/>
        </w:rPr>
      </w:pPr>
    </w:p>
    <w:p w14:paraId="743D7DB9" w14:textId="77777777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lastRenderedPageBreak/>
        <w:t>Mukilvannan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Gjerde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C. G.,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Schriwer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C., Lie, S. A., Berg, E.,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Gjengedal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H. (2021). An 8-10 Year Follow-up of Denture Satisfaction and Oral Health-Related Quality of Life with Implant-Retained Mandibular Overdentures.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prosthodontics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34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(3), 317–323.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31E4E1B4" w14:textId="760D1A50" w:rsidR="00E45119" w:rsidRPr="005620EC" w:rsidRDefault="00E45119" w:rsidP="00E45119">
      <w:pPr>
        <w:rPr>
          <w:rFonts w:ascii="Arial" w:hAnsi="Arial" w:cs="Arial"/>
          <w:sz w:val="20"/>
          <w:szCs w:val="20"/>
          <w:lang w:val="en-US"/>
        </w:rPr>
      </w:pPr>
    </w:p>
    <w:p w14:paraId="3EED9DF5" w14:textId="77777777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Müller, F., Duvernay, E., Loup, A., Vazquez, L., Herrmann, F. R., &amp; Schimmel, M. (2013). 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Implant-supported mandibular overdentures in very old adults: a randomized controlled trial.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Journal of dental research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92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(12 Suppl), 154S–60S.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6FB775DB" w14:textId="35BBA597" w:rsidR="00F5096C" w:rsidRPr="005620EC" w:rsidRDefault="00F5096C" w:rsidP="00E45119">
      <w:pPr>
        <w:rPr>
          <w:rFonts w:ascii="Arial" w:hAnsi="Arial" w:cs="Arial"/>
          <w:sz w:val="20"/>
          <w:szCs w:val="20"/>
          <w:lang w:val="en-US"/>
        </w:rPr>
      </w:pPr>
    </w:p>
    <w:p w14:paraId="18A2CFE5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Naert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I.,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Alsaadi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G.,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Quirynen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M. (2004). Prosthetic aspects and patient satisfaction with two-implant-retained mandibular overdentures: a 10-year randomized clinical study.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prosthodontics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17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(4), 401–410.</w:t>
      </w:r>
    </w:p>
    <w:p w14:paraId="7ACC7176" w14:textId="390E36FE" w:rsidR="00F5096C" w:rsidRPr="005620EC" w:rsidRDefault="00F5096C" w:rsidP="00E45119">
      <w:pPr>
        <w:rPr>
          <w:rFonts w:ascii="Arial" w:hAnsi="Arial" w:cs="Arial"/>
          <w:sz w:val="20"/>
          <w:szCs w:val="20"/>
          <w:lang w:val="en-US"/>
        </w:rPr>
      </w:pPr>
    </w:p>
    <w:p w14:paraId="003B6F21" w14:textId="2C095E4B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Nogueira, T. E., Aguiar, F., de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Barcelos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B. A.,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Leles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C. R. (2018a). A 2-year prospective study of single-implant mandibular overdentures: Patient-reported outcomes and prosthodontic events.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Clinical oral implants research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29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(6), 541–550</w:t>
      </w:r>
    </w:p>
    <w:p w14:paraId="71608DF4" w14:textId="7E733870" w:rsidR="00F5096C" w:rsidRPr="005620EC" w:rsidRDefault="00F5096C" w:rsidP="00E45119">
      <w:pPr>
        <w:rPr>
          <w:rFonts w:ascii="Arial" w:hAnsi="Arial" w:cs="Arial"/>
          <w:sz w:val="20"/>
          <w:szCs w:val="20"/>
          <w:lang w:val="en-US"/>
        </w:rPr>
      </w:pPr>
    </w:p>
    <w:p w14:paraId="21512347" w14:textId="77777777" w:rsidR="00F5096C" w:rsidRPr="005620EC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Nogueira, T. E., Aguiar, F., Esfandiari, S.,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Leles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C. R. (2018). Effectiveness of immediately loaded single-implant mandibular overdentures versus mandibular complete dentures: A 1-year follow-up of a randomized clinical trial.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Journal of dentistry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77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43–50.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25490EAF" w14:textId="40C316D0" w:rsidR="00F5096C" w:rsidRPr="005620EC" w:rsidRDefault="00F5096C" w:rsidP="00E45119">
      <w:pPr>
        <w:rPr>
          <w:rFonts w:ascii="Arial" w:hAnsi="Arial" w:cs="Arial"/>
          <w:sz w:val="20"/>
          <w:szCs w:val="20"/>
          <w:lang w:val="en-US"/>
        </w:rPr>
      </w:pPr>
    </w:p>
    <w:p w14:paraId="66190F30" w14:textId="77777777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Pan, S.,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Awad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M., Thomason, J. M., Dufresne, E., Kobayashi, T., Kimoto, S.,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Wollin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S. D.,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Feine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J. S. (2008). 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Sex differences in denture satisfaction.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Journal of dentistry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36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(5), 301–308.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174EEFFF" w14:textId="6A689AF9" w:rsidR="00F5096C" w:rsidRPr="005620EC" w:rsidRDefault="00F5096C" w:rsidP="00E45119">
      <w:pPr>
        <w:rPr>
          <w:rFonts w:ascii="Arial" w:hAnsi="Arial" w:cs="Arial"/>
          <w:sz w:val="20"/>
          <w:szCs w:val="20"/>
          <w:lang w:val="en-US"/>
        </w:rPr>
      </w:pPr>
    </w:p>
    <w:p w14:paraId="226E27C8" w14:textId="77777777" w:rsidR="00F5096C" w:rsidRPr="009D55D4" w:rsidRDefault="00F5096C" w:rsidP="00F5096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Scepanovic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M., Calvo-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Guirado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J. L., Markovic, A.,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Delgardo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-Ruiz, R.,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Todorovic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A., Milicic, B.,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Misic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T. (2012). A 1-year prospective cohort study on mandibular overdentures retained by mini dental implants.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European journal of oral implantology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5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(4), 367–379.</w:t>
      </w:r>
    </w:p>
    <w:p w14:paraId="4A0E29EF" w14:textId="467D87F8" w:rsidR="00F5096C" w:rsidRPr="005620EC" w:rsidRDefault="00F5096C" w:rsidP="00E45119">
      <w:pPr>
        <w:rPr>
          <w:rFonts w:ascii="Arial" w:hAnsi="Arial" w:cs="Arial"/>
          <w:sz w:val="20"/>
          <w:szCs w:val="20"/>
          <w:lang w:val="en-US"/>
        </w:rPr>
      </w:pPr>
    </w:p>
    <w:p w14:paraId="7606A976" w14:textId="77777777" w:rsidR="005620EC" w:rsidRPr="009D55D4" w:rsidRDefault="005620EC" w:rsidP="005620E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Schuster, A. J., Pastorino, D. A., Marcello-Machado, R. M.,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Faot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F. (2019). Influence of Age and Time Since Edentulism on Masticatory Function and Quality of Life in Implant-Retained Mandibular Overdenture Wearers: 1-year Results from a Paired Clinical Study.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oral &amp; maxillofacial implants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34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(6), 1466–1474.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58D60D0F" w14:textId="78A018B6" w:rsidR="005620EC" w:rsidRPr="005620EC" w:rsidRDefault="005620EC" w:rsidP="00E45119">
      <w:pPr>
        <w:rPr>
          <w:rFonts w:ascii="Arial" w:hAnsi="Arial" w:cs="Arial"/>
          <w:sz w:val="20"/>
          <w:szCs w:val="20"/>
          <w:lang w:val="en-US"/>
        </w:rPr>
      </w:pPr>
    </w:p>
    <w:p w14:paraId="018A452E" w14:textId="77777777" w:rsidR="005620EC" w:rsidRPr="009D55D4" w:rsidRDefault="005620EC" w:rsidP="005620EC">
      <w:pPr>
        <w:rPr>
          <w:rFonts w:ascii="Arial" w:hAnsi="Arial" w:cs="Arial"/>
          <w:sz w:val="20"/>
          <w:szCs w:val="20"/>
          <w:lang w:val="en-US"/>
        </w:rPr>
      </w:pP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Timmerman, R., Stoker, G. T.,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Wismeijer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D.,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Oosterveld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P.,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Vermeeren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J. I., &amp; van </w:t>
      </w:r>
      <w:proofErr w:type="spellStart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Waas</w:t>
      </w:r>
      <w:proofErr w:type="spellEnd"/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M. A. (2004). 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An eight-year follow-up to a randomized clinical trial of participant satisfaction with three types of mandibular implant-retained overdentures.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Journal of dental research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83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(8), 630–633.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</w:p>
    <w:p w14:paraId="30E10045" w14:textId="308CA84A" w:rsidR="005620EC" w:rsidRPr="005620EC" w:rsidRDefault="005620EC" w:rsidP="00E45119">
      <w:pPr>
        <w:rPr>
          <w:rFonts w:ascii="Arial" w:hAnsi="Arial" w:cs="Arial"/>
          <w:sz w:val="20"/>
          <w:szCs w:val="20"/>
          <w:lang w:val="en-US"/>
        </w:rPr>
      </w:pPr>
    </w:p>
    <w:p w14:paraId="289EB94E" w14:textId="77777777" w:rsidR="005620EC" w:rsidRPr="009D55D4" w:rsidRDefault="005620EC" w:rsidP="005620EC">
      <w:pPr>
        <w:rPr>
          <w:rFonts w:ascii="Arial" w:hAnsi="Arial" w:cs="Arial"/>
          <w:sz w:val="20"/>
          <w:szCs w:val="20"/>
          <w:lang w:val="en-US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Walton, J. N., Glick, N.,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Macentee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M. I. (2009). A randomized clinical trial comparing patient satisfaction and prosthetic outcomes with mandibular overdentures retained by one or two implants.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prosthodontics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</w:p>
    <w:p w14:paraId="1F20E9AA" w14:textId="6C37B20F" w:rsidR="005620EC" w:rsidRPr="005620EC" w:rsidRDefault="005620EC" w:rsidP="00E45119">
      <w:pPr>
        <w:rPr>
          <w:rFonts w:ascii="Arial" w:hAnsi="Arial" w:cs="Arial"/>
          <w:sz w:val="20"/>
          <w:szCs w:val="20"/>
          <w:lang w:val="en-US"/>
        </w:rPr>
      </w:pPr>
    </w:p>
    <w:p w14:paraId="20F74D5B" w14:textId="77777777" w:rsidR="005620EC" w:rsidRPr="009D55D4" w:rsidRDefault="005620EC" w:rsidP="005620EC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Yunus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N.,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Saub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, R.,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Taiyeb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 xml:space="preserve"> Ali, T. B., Salleh, N. M., &amp; </w:t>
      </w:r>
      <w:proofErr w:type="spellStart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Baig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 M. R. (2014). Patient-based and clinical outcomes of implant telescopic attachment-retained mandibular overdentures: a 1-year longitudinal prospective study.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The International journal of oral &amp; maxillofacial implants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,</w:t>
      </w:r>
      <w:r w:rsidRPr="009D55D4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9D55D4">
        <w:rPr>
          <w:rFonts w:ascii="Arial" w:hAnsi="Arial" w:cs="Arial"/>
          <w:i/>
          <w:iCs/>
          <w:color w:val="212121"/>
          <w:sz w:val="20"/>
          <w:szCs w:val="20"/>
          <w:lang w:val="en-US"/>
        </w:rPr>
        <w:t>29</w:t>
      </w:r>
      <w:r w:rsidRPr="009D55D4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(5), 1149–1156.</w:t>
      </w:r>
    </w:p>
    <w:p w14:paraId="2FB6E9A7" w14:textId="4A5F69C2" w:rsidR="005620EC" w:rsidRPr="005620EC" w:rsidRDefault="005620EC" w:rsidP="00E45119">
      <w:pPr>
        <w:rPr>
          <w:rFonts w:ascii="Arial" w:hAnsi="Arial" w:cs="Arial"/>
          <w:sz w:val="20"/>
          <w:szCs w:val="20"/>
          <w:lang w:val="en-US"/>
        </w:rPr>
      </w:pPr>
    </w:p>
    <w:p w14:paraId="323B65BB" w14:textId="77777777" w:rsidR="005620EC" w:rsidRPr="005620EC" w:rsidRDefault="005620EC" w:rsidP="005620EC">
      <w:pPr>
        <w:rPr>
          <w:rFonts w:ascii="Arial" w:hAnsi="Arial" w:cs="Arial"/>
          <w:sz w:val="20"/>
          <w:szCs w:val="20"/>
        </w:rPr>
      </w:pP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Zhang, Y., Chow, L., Siu, A., Fokas, G., Chow, T. W., &amp; Mattheos, N. (2019). Patient-reported outcome measures (PROMs) and maintenance events in 2-implant-supported mandibular overdenture patients: A 5-year prospective study.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  <w:lang w:val="en-US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</w:rPr>
        <w:t xml:space="preserve">Clinical oral </w:t>
      </w:r>
      <w:proofErr w:type="spellStart"/>
      <w:r w:rsidRPr="005620EC">
        <w:rPr>
          <w:rFonts w:ascii="Arial" w:hAnsi="Arial" w:cs="Arial"/>
          <w:i/>
          <w:iCs/>
          <w:color w:val="212121"/>
          <w:sz w:val="20"/>
          <w:szCs w:val="20"/>
        </w:rPr>
        <w:t>implants</w:t>
      </w:r>
      <w:proofErr w:type="spellEnd"/>
      <w:r w:rsidRPr="005620EC">
        <w:rPr>
          <w:rFonts w:ascii="Arial" w:hAnsi="Arial" w:cs="Arial"/>
          <w:i/>
          <w:iCs/>
          <w:color w:val="212121"/>
          <w:sz w:val="20"/>
          <w:szCs w:val="20"/>
        </w:rPr>
        <w:t xml:space="preserve"> </w:t>
      </w:r>
      <w:proofErr w:type="spellStart"/>
      <w:r w:rsidRPr="005620EC">
        <w:rPr>
          <w:rFonts w:ascii="Arial" w:hAnsi="Arial" w:cs="Arial"/>
          <w:i/>
          <w:iCs/>
          <w:color w:val="212121"/>
          <w:sz w:val="20"/>
          <w:szCs w:val="20"/>
        </w:rPr>
        <w:t>research</w:t>
      </w:r>
      <w:proofErr w:type="spellEnd"/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>,</w:t>
      </w:r>
      <w:r w:rsidRPr="005620EC">
        <w:rPr>
          <w:rStyle w:val="apple-converted-space"/>
          <w:rFonts w:ascii="Arial" w:hAnsi="Arial" w:cs="Arial"/>
          <w:color w:val="212121"/>
          <w:sz w:val="20"/>
          <w:szCs w:val="20"/>
          <w:shd w:val="clear" w:color="auto" w:fill="FFFFFF"/>
        </w:rPr>
        <w:t> </w:t>
      </w:r>
      <w:r w:rsidRPr="005620EC">
        <w:rPr>
          <w:rFonts w:ascii="Arial" w:hAnsi="Arial" w:cs="Arial"/>
          <w:i/>
          <w:iCs/>
          <w:color w:val="212121"/>
          <w:sz w:val="20"/>
          <w:szCs w:val="20"/>
        </w:rPr>
        <w:t>30</w:t>
      </w:r>
      <w:r w:rsidRPr="005620EC">
        <w:rPr>
          <w:rFonts w:ascii="Arial" w:hAnsi="Arial" w:cs="Arial"/>
          <w:color w:val="212121"/>
          <w:sz w:val="20"/>
          <w:szCs w:val="20"/>
          <w:shd w:val="clear" w:color="auto" w:fill="FFFFFF"/>
        </w:rPr>
        <w:t>(3), 261–276.</w:t>
      </w:r>
    </w:p>
    <w:p w14:paraId="49691F2D" w14:textId="77777777" w:rsidR="005620EC" w:rsidRPr="00E45119" w:rsidRDefault="005620EC" w:rsidP="00E45119">
      <w:pPr>
        <w:rPr>
          <w:lang w:val="en-US"/>
        </w:rPr>
      </w:pPr>
    </w:p>
    <w:sectPr w:rsidR="005620EC" w:rsidRPr="00E45119" w:rsidSect="00EB261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2B"/>
    <w:rsid w:val="000051DC"/>
    <w:rsid w:val="0001155C"/>
    <w:rsid w:val="00014745"/>
    <w:rsid w:val="00027B45"/>
    <w:rsid w:val="000311BD"/>
    <w:rsid w:val="00031F58"/>
    <w:rsid w:val="00033E59"/>
    <w:rsid w:val="0003575D"/>
    <w:rsid w:val="000375BB"/>
    <w:rsid w:val="00044238"/>
    <w:rsid w:val="00067D2B"/>
    <w:rsid w:val="000770C1"/>
    <w:rsid w:val="000871AC"/>
    <w:rsid w:val="000A6A6A"/>
    <w:rsid w:val="000B00E8"/>
    <w:rsid w:val="000B20EA"/>
    <w:rsid w:val="000B23FF"/>
    <w:rsid w:val="000B6A4B"/>
    <w:rsid w:val="000C22FE"/>
    <w:rsid w:val="000D2ED6"/>
    <w:rsid w:val="000D5AA7"/>
    <w:rsid w:val="000E12DE"/>
    <w:rsid w:val="000E5B25"/>
    <w:rsid w:val="00101F55"/>
    <w:rsid w:val="00103E0B"/>
    <w:rsid w:val="00104871"/>
    <w:rsid w:val="0011252C"/>
    <w:rsid w:val="00113AC6"/>
    <w:rsid w:val="00113F52"/>
    <w:rsid w:val="00122CCB"/>
    <w:rsid w:val="00130555"/>
    <w:rsid w:val="00145CEC"/>
    <w:rsid w:val="001558E2"/>
    <w:rsid w:val="00164D84"/>
    <w:rsid w:val="001844A4"/>
    <w:rsid w:val="0018525D"/>
    <w:rsid w:val="001868C6"/>
    <w:rsid w:val="0019251C"/>
    <w:rsid w:val="001D3F17"/>
    <w:rsid w:val="002028AF"/>
    <w:rsid w:val="0020409F"/>
    <w:rsid w:val="0020510E"/>
    <w:rsid w:val="002056CB"/>
    <w:rsid w:val="002151A1"/>
    <w:rsid w:val="00222F91"/>
    <w:rsid w:val="00232978"/>
    <w:rsid w:val="002338AC"/>
    <w:rsid w:val="00234941"/>
    <w:rsid w:val="0023754F"/>
    <w:rsid w:val="00237AE7"/>
    <w:rsid w:val="00246AF2"/>
    <w:rsid w:val="00247508"/>
    <w:rsid w:val="002512C5"/>
    <w:rsid w:val="00254FB8"/>
    <w:rsid w:val="00262B9B"/>
    <w:rsid w:val="00271D67"/>
    <w:rsid w:val="002740AA"/>
    <w:rsid w:val="002776AB"/>
    <w:rsid w:val="00277758"/>
    <w:rsid w:val="00293B8B"/>
    <w:rsid w:val="002C4321"/>
    <w:rsid w:val="002E5433"/>
    <w:rsid w:val="002F65AC"/>
    <w:rsid w:val="002F7AE9"/>
    <w:rsid w:val="003011A1"/>
    <w:rsid w:val="00302B94"/>
    <w:rsid w:val="003113AE"/>
    <w:rsid w:val="003215A3"/>
    <w:rsid w:val="00337D15"/>
    <w:rsid w:val="00350C7F"/>
    <w:rsid w:val="00351D25"/>
    <w:rsid w:val="00371AB0"/>
    <w:rsid w:val="003731E6"/>
    <w:rsid w:val="0037596A"/>
    <w:rsid w:val="00385175"/>
    <w:rsid w:val="0038750A"/>
    <w:rsid w:val="0039153D"/>
    <w:rsid w:val="0039216C"/>
    <w:rsid w:val="003A5984"/>
    <w:rsid w:val="003C6A3C"/>
    <w:rsid w:val="003D0E4A"/>
    <w:rsid w:val="003E7575"/>
    <w:rsid w:val="003F6BE0"/>
    <w:rsid w:val="00404656"/>
    <w:rsid w:val="0041279C"/>
    <w:rsid w:val="004222C0"/>
    <w:rsid w:val="00424441"/>
    <w:rsid w:val="004271C7"/>
    <w:rsid w:val="00432C47"/>
    <w:rsid w:val="004412E9"/>
    <w:rsid w:val="00442C6E"/>
    <w:rsid w:val="0044699A"/>
    <w:rsid w:val="00456BCA"/>
    <w:rsid w:val="00460A54"/>
    <w:rsid w:val="00461B8D"/>
    <w:rsid w:val="0047135C"/>
    <w:rsid w:val="0047433F"/>
    <w:rsid w:val="004918FC"/>
    <w:rsid w:val="00495630"/>
    <w:rsid w:val="004971A1"/>
    <w:rsid w:val="004A67EF"/>
    <w:rsid w:val="004E1911"/>
    <w:rsid w:val="004E2325"/>
    <w:rsid w:val="004E738E"/>
    <w:rsid w:val="004F1D2B"/>
    <w:rsid w:val="004F4AD8"/>
    <w:rsid w:val="005036F5"/>
    <w:rsid w:val="005057D7"/>
    <w:rsid w:val="00511BAC"/>
    <w:rsid w:val="00543878"/>
    <w:rsid w:val="00547229"/>
    <w:rsid w:val="005518A8"/>
    <w:rsid w:val="00555093"/>
    <w:rsid w:val="005620EC"/>
    <w:rsid w:val="005624E7"/>
    <w:rsid w:val="0057311C"/>
    <w:rsid w:val="00575033"/>
    <w:rsid w:val="00575961"/>
    <w:rsid w:val="00576677"/>
    <w:rsid w:val="00583F65"/>
    <w:rsid w:val="00590EF5"/>
    <w:rsid w:val="005A07CD"/>
    <w:rsid w:val="005B4D5D"/>
    <w:rsid w:val="005C05D9"/>
    <w:rsid w:val="005C2C51"/>
    <w:rsid w:val="005D2F5B"/>
    <w:rsid w:val="005E28AC"/>
    <w:rsid w:val="005F2146"/>
    <w:rsid w:val="005F48E1"/>
    <w:rsid w:val="005F545B"/>
    <w:rsid w:val="005F6D4C"/>
    <w:rsid w:val="005F778A"/>
    <w:rsid w:val="006124D0"/>
    <w:rsid w:val="006163AE"/>
    <w:rsid w:val="00620AB0"/>
    <w:rsid w:val="00641078"/>
    <w:rsid w:val="006471C2"/>
    <w:rsid w:val="00650CDC"/>
    <w:rsid w:val="006511AB"/>
    <w:rsid w:val="00656C8B"/>
    <w:rsid w:val="00663924"/>
    <w:rsid w:val="00664E63"/>
    <w:rsid w:val="00690989"/>
    <w:rsid w:val="00691838"/>
    <w:rsid w:val="00695778"/>
    <w:rsid w:val="006B1FF9"/>
    <w:rsid w:val="006C1CC0"/>
    <w:rsid w:val="006C472B"/>
    <w:rsid w:val="006D49B1"/>
    <w:rsid w:val="006D7005"/>
    <w:rsid w:val="006E3C6E"/>
    <w:rsid w:val="006E6155"/>
    <w:rsid w:val="006F1671"/>
    <w:rsid w:val="006F5AD7"/>
    <w:rsid w:val="006F64A2"/>
    <w:rsid w:val="00704D54"/>
    <w:rsid w:val="00713371"/>
    <w:rsid w:val="007203DC"/>
    <w:rsid w:val="007263F5"/>
    <w:rsid w:val="00754736"/>
    <w:rsid w:val="0075584E"/>
    <w:rsid w:val="00757538"/>
    <w:rsid w:val="00762445"/>
    <w:rsid w:val="00765E54"/>
    <w:rsid w:val="007762FB"/>
    <w:rsid w:val="00785992"/>
    <w:rsid w:val="00786BDC"/>
    <w:rsid w:val="00787371"/>
    <w:rsid w:val="007900B0"/>
    <w:rsid w:val="00795439"/>
    <w:rsid w:val="007977C3"/>
    <w:rsid w:val="007B08AD"/>
    <w:rsid w:val="007B1E70"/>
    <w:rsid w:val="007B5E8B"/>
    <w:rsid w:val="007C24E9"/>
    <w:rsid w:val="007D28BA"/>
    <w:rsid w:val="007E521F"/>
    <w:rsid w:val="007F0131"/>
    <w:rsid w:val="00801407"/>
    <w:rsid w:val="00803740"/>
    <w:rsid w:val="008046BB"/>
    <w:rsid w:val="00810ECA"/>
    <w:rsid w:val="008136FA"/>
    <w:rsid w:val="00814389"/>
    <w:rsid w:val="00821E0F"/>
    <w:rsid w:val="0083087B"/>
    <w:rsid w:val="00831CC0"/>
    <w:rsid w:val="00834C07"/>
    <w:rsid w:val="008446A6"/>
    <w:rsid w:val="008633E1"/>
    <w:rsid w:val="00863F27"/>
    <w:rsid w:val="00870603"/>
    <w:rsid w:val="00892711"/>
    <w:rsid w:val="00895A9F"/>
    <w:rsid w:val="00896DAC"/>
    <w:rsid w:val="008A430F"/>
    <w:rsid w:val="008B04BF"/>
    <w:rsid w:val="008C0084"/>
    <w:rsid w:val="008C2442"/>
    <w:rsid w:val="008C560A"/>
    <w:rsid w:val="008D447A"/>
    <w:rsid w:val="008D5912"/>
    <w:rsid w:val="008D7341"/>
    <w:rsid w:val="008E18D3"/>
    <w:rsid w:val="008E4B35"/>
    <w:rsid w:val="008F26B9"/>
    <w:rsid w:val="008F6D54"/>
    <w:rsid w:val="00916D7C"/>
    <w:rsid w:val="009171D2"/>
    <w:rsid w:val="009229FF"/>
    <w:rsid w:val="00925DE7"/>
    <w:rsid w:val="009508B5"/>
    <w:rsid w:val="0096451E"/>
    <w:rsid w:val="00965F5E"/>
    <w:rsid w:val="009815CE"/>
    <w:rsid w:val="009A3966"/>
    <w:rsid w:val="009C3108"/>
    <w:rsid w:val="009C5335"/>
    <w:rsid w:val="009D55D4"/>
    <w:rsid w:val="009E4DD3"/>
    <w:rsid w:val="00A019DC"/>
    <w:rsid w:val="00A04725"/>
    <w:rsid w:val="00A06AA9"/>
    <w:rsid w:val="00A06D9C"/>
    <w:rsid w:val="00A108B4"/>
    <w:rsid w:val="00A21A55"/>
    <w:rsid w:val="00A41475"/>
    <w:rsid w:val="00A41638"/>
    <w:rsid w:val="00A447C3"/>
    <w:rsid w:val="00A4717B"/>
    <w:rsid w:val="00A553CE"/>
    <w:rsid w:val="00A60861"/>
    <w:rsid w:val="00A61821"/>
    <w:rsid w:val="00A628E3"/>
    <w:rsid w:val="00A65272"/>
    <w:rsid w:val="00A66710"/>
    <w:rsid w:val="00A70682"/>
    <w:rsid w:val="00A807F9"/>
    <w:rsid w:val="00A8399A"/>
    <w:rsid w:val="00A95E0D"/>
    <w:rsid w:val="00AB1402"/>
    <w:rsid w:val="00AB443C"/>
    <w:rsid w:val="00AB48B1"/>
    <w:rsid w:val="00AB727E"/>
    <w:rsid w:val="00AD0FDF"/>
    <w:rsid w:val="00AE685A"/>
    <w:rsid w:val="00AF414E"/>
    <w:rsid w:val="00AF644E"/>
    <w:rsid w:val="00AF6E43"/>
    <w:rsid w:val="00B01227"/>
    <w:rsid w:val="00B10A4D"/>
    <w:rsid w:val="00B113F4"/>
    <w:rsid w:val="00B11C8A"/>
    <w:rsid w:val="00B124BA"/>
    <w:rsid w:val="00B26062"/>
    <w:rsid w:val="00B2671C"/>
    <w:rsid w:val="00B45ECF"/>
    <w:rsid w:val="00B54E18"/>
    <w:rsid w:val="00B63F27"/>
    <w:rsid w:val="00B95460"/>
    <w:rsid w:val="00B96704"/>
    <w:rsid w:val="00BA3B35"/>
    <w:rsid w:val="00BA69E0"/>
    <w:rsid w:val="00BB3549"/>
    <w:rsid w:val="00BB79C9"/>
    <w:rsid w:val="00BC1D38"/>
    <w:rsid w:val="00BD710E"/>
    <w:rsid w:val="00BE07DA"/>
    <w:rsid w:val="00BE6EDD"/>
    <w:rsid w:val="00BF1FE2"/>
    <w:rsid w:val="00C019BF"/>
    <w:rsid w:val="00C03AD2"/>
    <w:rsid w:val="00C112A2"/>
    <w:rsid w:val="00C365B1"/>
    <w:rsid w:val="00C37C5A"/>
    <w:rsid w:val="00C41DD4"/>
    <w:rsid w:val="00C5338D"/>
    <w:rsid w:val="00C53D87"/>
    <w:rsid w:val="00C5793C"/>
    <w:rsid w:val="00C6168C"/>
    <w:rsid w:val="00C66D92"/>
    <w:rsid w:val="00C739BE"/>
    <w:rsid w:val="00C7597B"/>
    <w:rsid w:val="00C77253"/>
    <w:rsid w:val="00CB556F"/>
    <w:rsid w:val="00CC4125"/>
    <w:rsid w:val="00CC5E70"/>
    <w:rsid w:val="00CD223A"/>
    <w:rsid w:val="00CE1722"/>
    <w:rsid w:val="00CE6C77"/>
    <w:rsid w:val="00CF6C04"/>
    <w:rsid w:val="00D05455"/>
    <w:rsid w:val="00D1782A"/>
    <w:rsid w:val="00D20791"/>
    <w:rsid w:val="00D23D17"/>
    <w:rsid w:val="00D27D24"/>
    <w:rsid w:val="00D27E1D"/>
    <w:rsid w:val="00D30052"/>
    <w:rsid w:val="00D32F4C"/>
    <w:rsid w:val="00D45141"/>
    <w:rsid w:val="00D536C6"/>
    <w:rsid w:val="00D6375B"/>
    <w:rsid w:val="00D720F6"/>
    <w:rsid w:val="00D84C31"/>
    <w:rsid w:val="00D96159"/>
    <w:rsid w:val="00DA1337"/>
    <w:rsid w:val="00DA49BC"/>
    <w:rsid w:val="00DB550D"/>
    <w:rsid w:val="00DB7607"/>
    <w:rsid w:val="00DC48FF"/>
    <w:rsid w:val="00DC4B32"/>
    <w:rsid w:val="00DD5B1B"/>
    <w:rsid w:val="00DE21C2"/>
    <w:rsid w:val="00DE6FBA"/>
    <w:rsid w:val="00DF35AE"/>
    <w:rsid w:val="00E1485F"/>
    <w:rsid w:val="00E21B0A"/>
    <w:rsid w:val="00E3136E"/>
    <w:rsid w:val="00E45119"/>
    <w:rsid w:val="00E46349"/>
    <w:rsid w:val="00E46B38"/>
    <w:rsid w:val="00E504D7"/>
    <w:rsid w:val="00E54426"/>
    <w:rsid w:val="00E61006"/>
    <w:rsid w:val="00E61E5D"/>
    <w:rsid w:val="00E6360A"/>
    <w:rsid w:val="00E66868"/>
    <w:rsid w:val="00E74FDE"/>
    <w:rsid w:val="00E7574C"/>
    <w:rsid w:val="00E8219D"/>
    <w:rsid w:val="00E860FC"/>
    <w:rsid w:val="00E9420D"/>
    <w:rsid w:val="00E95D9F"/>
    <w:rsid w:val="00EA350B"/>
    <w:rsid w:val="00EB261C"/>
    <w:rsid w:val="00EC2578"/>
    <w:rsid w:val="00EC3942"/>
    <w:rsid w:val="00ED6063"/>
    <w:rsid w:val="00EE20F3"/>
    <w:rsid w:val="00EE5A25"/>
    <w:rsid w:val="00EF39D8"/>
    <w:rsid w:val="00EF45E2"/>
    <w:rsid w:val="00EF6F7C"/>
    <w:rsid w:val="00F0337D"/>
    <w:rsid w:val="00F03CB7"/>
    <w:rsid w:val="00F05A77"/>
    <w:rsid w:val="00F05EBD"/>
    <w:rsid w:val="00F10085"/>
    <w:rsid w:val="00F10E5B"/>
    <w:rsid w:val="00F2319E"/>
    <w:rsid w:val="00F25B83"/>
    <w:rsid w:val="00F352BD"/>
    <w:rsid w:val="00F43CA0"/>
    <w:rsid w:val="00F5096C"/>
    <w:rsid w:val="00F55A74"/>
    <w:rsid w:val="00F65046"/>
    <w:rsid w:val="00F9468D"/>
    <w:rsid w:val="00FB3027"/>
    <w:rsid w:val="00FB44BA"/>
    <w:rsid w:val="00FC4DE5"/>
    <w:rsid w:val="00FC658E"/>
    <w:rsid w:val="00FD7639"/>
    <w:rsid w:val="00FE2790"/>
    <w:rsid w:val="00FE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F8115B"/>
  <w15:chartTrackingRefBased/>
  <w15:docId w15:val="{7BB89633-F903-9F44-821B-98B5A822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216C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392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1522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Abou-Ayash, Samir (ZMK)</dc:creator>
  <cp:keywords/>
  <dc:description/>
  <cp:lastModifiedBy>Abou-Ayash, Samir (ZMK)</cp:lastModifiedBy>
  <cp:revision>4</cp:revision>
  <dcterms:created xsi:type="dcterms:W3CDTF">2022-08-26T08:25:00Z</dcterms:created>
  <dcterms:modified xsi:type="dcterms:W3CDTF">2023-04-02T13:42:00Z</dcterms:modified>
</cp:coreProperties>
</file>