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0" w:type="auto"/>
        <w:tblLook w:val="04A0" w:firstRow="1" w:lastRow="0" w:firstColumn="1" w:lastColumn="0" w:noHBand="0" w:noVBand="1"/>
      </w:tblPr>
      <w:tblGrid>
        <w:gridCol w:w="2689"/>
        <w:gridCol w:w="3969"/>
        <w:gridCol w:w="2398"/>
      </w:tblGrid>
      <w:tr w:rsidR="008E32C8" w14:paraId="05A4FEDE" w14:textId="77777777" w:rsidTr="00AB5C03">
        <w:tc>
          <w:tcPr>
            <w:tcW w:w="2689" w:type="dxa"/>
          </w:tcPr>
          <w:p w14:paraId="28C486DE" w14:textId="5C28C53B" w:rsidR="008E32C8" w:rsidRDefault="008E32C8">
            <w:bookmarkStart w:id="0" w:name="_GoBack"/>
            <w:bookmarkEnd w:id="0"/>
            <w:r>
              <w:t>Author (Year)</w:t>
            </w:r>
          </w:p>
        </w:tc>
        <w:tc>
          <w:tcPr>
            <w:tcW w:w="3969" w:type="dxa"/>
          </w:tcPr>
          <w:p w14:paraId="1676B33D" w14:textId="1476FD24" w:rsidR="008E32C8" w:rsidRDefault="008E32C8">
            <w:r>
              <w:t>Reason for contact</w:t>
            </w:r>
          </w:p>
        </w:tc>
        <w:tc>
          <w:tcPr>
            <w:tcW w:w="2398" w:type="dxa"/>
          </w:tcPr>
          <w:p w14:paraId="62C6F4AA" w14:textId="6621DC13" w:rsidR="008E32C8" w:rsidRDefault="008E32C8">
            <w:r>
              <w:t>Author reply received</w:t>
            </w:r>
          </w:p>
        </w:tc>
      </w:tr>
      <w:tr w:rsidR="008E32C8" w14:paraId="36329C67" w14:textId="77777777" w:rsidTr="00AB5C03">
        <w:tc>
          <w:tcPr>
            <w:tcW w:w="2689" w:type="dxa"/>
          </w:tcPr>
          <w:p w14:paraId="25D24DB6" w14:textId="273F0D11" w:rsidR="008E32C8" w:rsidRDefault="00F70D04">
            <w:r>
              <w:fldChar w:fldCharType="begin" w:fldLock="1"/>
            </w:r>
            <w:r w:rsidR="00C3726D">
              <w:instrText>ADDIN CSL_CITATION {"citationItems":[{"id":"ITEM-1","itemData":{"DOI":"10.1016/J.PROSDENT.2017.11.028","ISSN":"1097-6841","PMID":"29724562","abstract":"Statement of problem: The influence of the mandibular resorption profile on clinical outcome after converting a conventional complete denture into a Locator-retained implant overdenture is unknown. Purpose: The purpose of this prospective study was to assess the oral health-related quality of life (OHRQoL) and prosthetic maintenance of mandibular overdentures on 2 Locator abutments in relation to the resorption degree of the edentulous mandible. Material and methods: Twenty-five participants were treated and classified according to the Cawood and Howell (CAW-H) resorption classification for the resorption profile of the mandible, CAW-H group III-IV (n=14) and CAW-H group V (n=11). Participants received conventional complete dentures (CDs) before implant placement and immediate nonfunctional loading on Locators with a resilient liner. After 3 months, the attachments were functionally activated. Assessments were made using the Oral Health Impact Profile 14 (OHIP-14) questionnaires with existing CDs and new CDs at 1, 3, and 15 months after loading. Prosthetic maintenance (repairs, rebasings, replacement of retention parts) and biological prosthetic aftercare were assessed. For comparison between groups, the Kruskal-Wallis and Mann-Whitney U tests were applied for continuous and ordinal variables and the chi-square test for cross-tabulations. To analyze repeated OHIP-14 scores, the Friedman test was used for ordered alternatives to test whether the measurements differed (overall significance level α=.05). Then the Wilcoxon signed rank test was conducted to detect specific differences (α=.05). Results: OHIP-14 scores decreased significantly after implant placement and functional connection for the whole population (P&lt;.001) and for both sub groups, the CAW-H group III-IV (P&lt;.001) and the CAW-H group V (P=.013). CAW-H group V participants needed more retention inserts than CAW-H group III-IV participants (26 versus 3, respectively; P=.006). The incidence of repair and rebasing was limited for both groups, and biological aftercare and pain relief were comparable. Conclusions: Changing a CD to an overdenture significantly improved ORLQoL regardless of the resorption degree, but heavily resorbed mandibles require more replacements of retention inserts.","author":[{"dropping-particle":"","family":"Matthys","given":"Carine","non-dropping-particle":"","parse-names":false,"suffix":""},{"dropping-particle":"","family":"Vervaeke","given":"Stijn","non-dropping-particle":"","parse-names":false,"suffix":""},{"dropping-particle":"","family":"Jacquet","given":"Wolfgang","non-dropping-particle":"","parse-names":false,"suffix":""},{"dropping-particle":"","family":"Bruyn","given":"Hugo","non-dropping-particle":"De","parse-names":false,"suffix":""}],"container-title":"The Journal of prosthetic dentistry","id":"ITEM-1","issue":"6","issued":{"date-parts":[["2018","12","1"]]},"page":"886-894","publisher":"J Prosthet Dent","title":"Impact of crestal bone resorption on quality of life and professional maintenance with conventional dentures or Locator-retained mandibular implant overdentures","type":"article-journal","volume":"120"},"uris":["http://www.mendeley.com/documents/?uuid=5ef961c4-a7cc-37fd-a21e-386efbaf27d7"]}],"mendeley":{"formattedCitation":"(Matthys et al., 2018)","manualFormatting":"Matthys et al., (2018)","plainTextFormattedCitation":"(Matthys et al., 2018)","previouslyFormattedCitation":"(Matthys et al., 2018)"},"properties":{"noteIndex":0},"schema":"https://github.com/citation-style-language/schema/raw/master/csl-citation.json"}</w:instrText>
            </w:r>
            <w:r>
              <w:fldChar w:fldCharType="separate"/>
            </w:r>
            <w:r w:rsidRPr="00F70D04">
              <w:rPr>
                <w:noProof/>
              </w:rPr>
              <w:t xml:space="preserve">Matthys et al., </w:t>
            </w:r>
            <w:r w:rsidR="00C3726D">
              <w:rPr>
                <w:noProof/>
              </w:rPr>
              <w:t>(</w:t>
            </w:r>
            <w:r w:rsidRPr="00F70D04">
              <w:rPr>
                <w:noProof/>
              </w:rPr>
              <w:t>2018)</w:t>
            </w:r>
            <w:r>
              <w:fldChar w:fldCharType="end"/>
            </w:r>
          </w:p>
        </w:tc>
        <w:tc>
          <w:tcPr>
            <w:tcW w:w="3969" w:type="dxa"/>
          </w:tcPr>
          <w:p w14:paraId="0FFC0866" w14:textId="0C853294" w:rsidR="008E32C8" w:rsidRDefault="00F22098">
            <w:r>
              <w:t>Study cohort</w:t>
            </w:r>
          </w:p>
        </w:tc>
        <w:tc>
          <w:tcPr>
            <w:tcW w:w="2398" w:type="dxa"/>
          </w:tcPr>
          <w:p w14:paraId="52DAFD42" w14:textId="45060009" w:rsidR="008E32C8" w:rsidRDefault="00F22098">
            <w:r>
              <w:t>Yes</w:t>
            </w:r>
          </w:p>
        </w:tc>
      </w:tr>
      <w:tr w:rsidR="008E32C8" w14:paraId="0217A61E" w14:textId="77777777" w:rsidTr="00AB5C03">
        <w:tc>
          <w:tcPr>
            <w:tcW w:w="2689" w:type="dxa"/>
          </w:tcPr>
          <w:p w14:paraId="4EA6E393" w14:textId="7F3DEEC2" w:rsidR="008E32C8" w:rsidRDefault="00F70D04">
            <w:r>
              <w:fldChar w:fldCharType="begin" w:fldLock="1"/>
            </w:r>
            <w:r w:rsidR="00C3726D">
              <w:instrText>ADDIN CSL_CITATION {"citationItems":[{"id":"ITEM-1","itemData":{"DOI":"10.1111/CID.12840","ISSN":"1708-8208","PMID":"31454159","abstract":"Background: It is uncertain, which is the optimal attachment for a mandibular 2-implant overdenture (2IOD). Purpose: To assess 5 years clinical implant outcome, prosthetic maintenance, cost, and PROMs of two cohorts receiving 2IOD on ball or stud abutments in a comparative study. Materials and Methods: Ninety edentulous individuals were treated with balls (n = 34) or locator (n = 56). Implant survival, bone-to-implant level, prosthetic outcome, technical maintenance, and OHIP-14 were assessed. Statistics to compare between baseline and 1/5 years and between groups were t-test or Mann-Whitney (P &lt;.05); chi-square was adopted to analyze plaque and technical maintenance or interventions between groups. Results: Five years implant survival was 98.7%, irrespective of attachment. Overall mean bone loss was 1.1 mm, probing pocket depth 1.92 mm, bleeding score 0.60, plaque score 1. Plaque accumulated more on locators (P =.023). OHIP-14 declined from 18.1 to 2.7 irrespective of attachment. Retention for balls was better (P &lt;.005), locators required more maintenance (P &lt;.001), caused by retention-adjustment (P &lt;.001) or ulcers/pain (P =.014). Five years maintenance-cost was 11% of initial cost, irrespective of attachment. Conclusions: Balls and locators yield stable 5-years implant outcome and improved Oral Health Related Quality of Life (OHRQoL). Locators required more maintenance and resulted in a lower retention. Maintenance costs are minimal but may affect OHRQoL at least for stud abutments.","author":[{"dropping-particle":"","family":"Matthys","given":"Carine","non-dropping-particle":"","parse-names":false,"suffix":""},{"dropping-particle":"","family":"Vervaeke","given":"Stijn","non-dropping-particle":"","parse-names":false,"suffix":""},{"dropping-particle":"","family":"Besseler","given":"Jos","non-dropping-particle":"","parse-names":false,"suffix":""},{"dropping-particle":"","family":"Doornewaard","given":"Ron","non-dropping-particle":"","parse-names":false,"suffix":""},{"dropping-particle":"","family":"Dierens","given":"Melissa","non-dropping-particle":"","parse-names":false,"suffix":""},{"dropping-particle":"","family":"Bruyn","given":"Hugo","non-dropping-particle":"De","parse-names":false,"suffix":""}],"container-title":"Clinical implant dentistry and related research","id":"ITEM-1","issue":"5","issued":{"date-parts":[["2019","10","1"]]},"page":"835-844","publisher":"Clin Implant Dent Relat Res","title":"Five years follow-up of mandibular 2-implant overdentures on locator or ball abutments: Implant results, patient-related outcome, and prosthetic aftercare","type":"article-journal","volume":"21"},"uris":["http://www.mendeley.com/documents/?uuid=562e101b-c538-3a25-8c31-d3312ce1cafd"]}],"mendeley":{"formattedCitation":"(Matthys et al., 2019)","manualFormatting":"Matthys et al., (2019)","plainTextFormattedCitation":"(Matthys et al., 2019)","previouslyFormattedCitation":"(Matthys et al., 2019)"},"properties":{"noteIndex":0},"schema":"https://github.com/citation-style-language/schema/raw/master/csl-citation.json"}</w:instrText>
            </w:r>
            <w:r>
              <w:fldChar w:fldCharType="separate"/>
            </w:r>
            <w:r w:rsidRPr="00F70D04">
              <w:rPr>
                <w:noProof/>
              </w:rPr>
              <w:t xml:space="preserve">Matthys et al., </w:t>
            </w:r>
            <w:r w:rsidR="00C3726D">
              <w:rPr>
                <w:noProof/>
              </w:rPr>
              <w:t>(</w:t>
            </w:r>
            <w:r w:rsidRPr="00F70D04">
              <w:rPr>
                <w:noProof/>
              </w:rPr>
              <w:t>2019)</w:t>
            </w:r>
            <w:r>
              <w:fldChar w:fldCharType="end"/>
            </w:r>
          </w:p>
        </w:tc>
        <w:tc>
          <w:tcPr>
            <w:tcW w:w="3969" w:type="dxa"/>
          </w:tcPr>
          <w:p w14:paraId="66150491" w14:textId="77777777" w:rsidR="008E32C8" w:rsidRDefault="00F22098">
            <w:r>
              <w:t>Study cohort</w:t>
            </w:r>
          </w:p>
          <w:p w14:paraId="7375552B" w14:textId="71D101EF" w:rsidR="00F22098" w:rsidRDefault="00F22098">
            <w:r>
              <w:t>Antagonist dentition</w:t>
            </w:r>
          </w:p>
        </w:tc>
        <w:tc>
          <w:tcPr>
            <w:tcW w:w="2398" w:type="dxa"/>
          </w:tcPr>
          <w:p w14:paraId="7751397F" w14:textId="282E859C" w:rsidR="008E32C8" w:rsidRDefault="00F22098">
            <w:r>
              <w:t>Yes</w:t>
            </w:r>
          </w:p>
        </w:tc>
      </w:tr>
      <w:tr w:rsidR="008E32C8" w14:paraId="613DDFFC" w14:textId="77777777" w:rsidTr="00AB5C03">
        <w:tc>
          <w:tcPr>
            <w:tcW w:w="2689" w:type="dxa"/>
            <w:shd w:val="clear" w:color="auto" w:fill="auto"/>
          </w:tcPr>
          <w:p w14:paraId="604C6C71" w14:textId="161A6D35" w:rsidR="008E32C8" w:rsidRPr="008E32C8" w:rsidRDefault="00F70D04">
            <w:r>
              <w:fldChar w:fldCharType="begin" w:fldLock="1"/>
            </w:r>
            <w:r w:rsidR="00AB5C03">
              <w:instrText>ADDIN CSL_CITATION {"citationItems":[{"id":"ITEM-1","itemData":{"DOI":"10.1111/CLR.13521","ISSN":"1600-0501","PMID":"31385402","abstract":"Objectives: To compare the clinical treatment outcomes of maxillary four-implant retained overdentures with either splinted (bar) attachments or non-splinted (ball) attachments. Material and Methods: Forty participants who were dissatisfied with their existing conventional maxillary complete dentures were included in this randomized controlled trial. Six months after implant placement, a definitive prosthesis was inserted. Implant success, condition of peri-implant tissue, prosthodontic maintenance and complications, and patient satisfaction were assessed. Outcomes were recorded at baseline, prosthesis delivery, and at 3 and 12 months following prosthesis delivery, and a statistical analysis was performed. Results: Thirty-two of the forty patients completed the 1-year follow-up and had their treatment outcomes evaluated. The mean marginal bone loss after 1 year of loading was 0.34 ± 0.88 mm, and there were no significant differences between the two groups. Plaque index, gingival index and bleeding on probing were significantly higher in the bar group (p&lt;.001), and the implant success rate of the bar group was significantly lower than that of the ball group (p=.028). The most frequent prosthodontic maintenance and complication issue was the need to change the bar clip or O-ring as a result of retention loss. Patient satisfaction did not differ between the two groups except for aesthetics at 3 months. Conclusions: Within the limitations of this study, the maxillary 4-implant retained overdenture exhibited predictable results regardless of the attachment systems (ball or bar) in the 1-year follow-up period. The bar group was more vulnerable than the ball group with respect to maintaining peri-implant tissue health.","author":[{"dropping-particle":"","family":"Park","given":"Jin Hong","non-dropping-particle":"","parse-names":false,"suffix":""},{"dropping-particle":"","family":"Shin","given":"Sang Wan","non-dropping-particle":"","parse-names":false,"suffix":""},{"dropping-particle":"","family":"Lee","given":"Jeong Yol","non-dropping-particle":"","parse-names":false,"suffix":""}],"container-title":"Clinical oral implants research","id":"ITEM-1","issue":"11","issued":{"date-parts":[["2019","11","1"]]},"page":"1076-1084","publisher":"Clin Oral Implants Res","title":"Bar versus ball attachments for maxillary four-implant retained overdentures: A randomized controlled trial","type":"article-journal","volume":"30"},"uris":["http://www.mendeley.com/documents/?uuid=43a4dcf1-5ec4-33d0-b1af-4e9e15942a44"]}],"mendeley":{"formattedCitation":"(Park et al., 2019)","manualFormatting":"Park et al., (2019)","plainTextFormattedCitation":"(Park et al., 2019)","previouslyFormattedCitation":"(Park et al., 2019)"},"properties":{"noteIndex":0},"schema":"https://github.com/citation-style-language/schema/raw/master/csl-citation.json"}</w:instrText>
            </w:r>
            <w:r>
              <w:fldChar w:fldCharType="separate"/>
            </w:r>
            <w:r w:rsidR="00AB5C03" w:rsidRPr="00AB5C03">
              <w:rPr>
                <w:noProof/>
              </w:rPr>
              <w:t xml:space="preserve">Park et al., </w:t>
            </w:r>
            <w:r w:rsidR="00AB5C03">
              <w:rPr>
                <w:noProof/>
              </w:rPr>
              <w:t>(</w:t>
            </w:r>
            <w:r w:rsidR="00AB5C03" w:rsidRPr="00AB5C03">
              <w:rPr>
                <w:noProof/>
              </w:rPr>
              <w:t>2019)</w:t>
            </w:r>
            <w:r>
              <w:fldChar w:fldCharType="end"/>
            </w:r>
          </w:p>
        </w:tc>
        <w:tc>
          <w:tcPr>
            <w:tcW w:w="3969" w:type="dxa"/>
          </w:tcPr>
          <w:p w14:paraId="69BF975F" w14:textId="77777777" w:rsidR="00F22098" w:rsidRDefault="00F22098" w:rsidP="00F22098">
            <w:r>
              <w:t>Antagonist dentition</w:t>
            </w:r>
          </w:p>
          <w:p w14:paraId="6EE916F3" w14:textId="761F128A" w:rsidR="00F22098" w:rsidRDefault="00F22098" w:rsidP="00F22098">
            <w:r>
              <w:t>Type of PROMs</w:t>
            </w:r>
          </w:p>
        </w:tc>
        <w:tc>
          <w:tcPr>
            <w:tcW w:w="2398" w:type="dxa"/>
          </w:tcPr>
          <w:p w14:paraId="7F224855" w14:textId="6CD8EDC3" w:rsidR="008E32C8" w:rsidRDefault="00F22098">
            <w:r>
              <w:t>No</w:t>
            </w:r>
          </w:p>
        </w:tc>
      </w:tr>
      <w:tr w:rsidR="008E32C8" w14:paraId="50BAE2F4" w14:textId="77777777" w:rsidTr="00AB5C03">
        <w:tc>
          <w:tcPr>
            <w:tcW w:w="2689" w:type="dxa"/>
          </w:tcPr>
          <w:p w14:paraId="1DC6B12C" w14:textId="42C7B18B" w:rsidR="008E32C8" w:rsidRPr="00F70D04" w:rsidRDefault="00F70D04">
            <w:pPr>
              <w:rPr>
                <w:lang w:val="de-DE"/>
              </w:rPr>
            </w:pPr>
            <w:r>
              <w:fldChar w:fldCharType="begin" w:fldLock="1"/>
            </w:r>
            <w:r w:rsidR="00AB5C03">
              <w:rPr>
                <w:lang w:val="de-DE"/>
              </w:rPr>
              <w:instrText>ADDIN CSL_CITATION {"citationItems":[{"id":"ITEM-1","itemData":{"author":[{"dropping-particle":"","family":"Walton","given":"Joanne N","non-dropping-particle":"","parse-names":false,"suffix":""},{"dropping-particle":"","family":"Glick","given":"Ned","non-dropping-particle":"","parse-names":false,"suffix":""},{"dropping-particle":"","family":"Macentee","given":"Michael I","non-dropping-particle":"","parse-names":false,"suffix":""}],"container-title":"International Journal of Prosthodontics","id":"ITEM-1","issue":"4","issued":{"date-parts":[["2009"]]},"page":"331-339","title":"A randomized clinical trial comparing patient satisfaction and prosthetic outcomes with mandibular overdentures retained by one or two implants","type":"article-journal","volume":"22"},"uris":["http://www.mendeley.com/documents/?uuid=20ff782e-9a79-4ef4-a516-da04693f5b4c"]}],"mendeley":{"formattedCitation":"(Walton et al., 2009)","manualFormatting":"Walton et al., (2009","plainTextFormattedCitation":"(Walton et al., 2009)","previouslyFormattedCitation":"(Walton et al., 2009)"},"properties":{"noteIndex":0},"schema":"https://github.com/citation-style-language/schema/raw/master/csl-citation.json"}</w:instrText>
            </w:r>
            <w:r>
              <w:fldChar w:fldCharType="separate"/>
            </w:r>
            <w:r w:rsidRPr="00F70D04">
              <w:rPr>
                <w:noProof/>
                <w:lang w:val="de-DE"/>
              </w:rPr>
              <w:t xml:space="preserve">Walton et al., </w:t>
            </w:r>
            <w:r w:rsidR="00AB5C03">
              <w:rPr>
                <w:noProof/>
                <w:lang w:val="de-DE"/>
              </w:rPr>
              <w:t>(</w:t>
            </w:r>
            <w:r w:rsidRPr="00F70D04">
              <w:rPr>
                <w:noProof/>
                <w:lang w:val="de-DE"/>
              </w:rPr>
              <w:t>2009</w:t>
            </w:r>
            <w:r>
              <w:fldChar w:fldCharType="end"/>
            </w:r>
            <w:r w:rsidR="00AB5C03">
              <w:t>)</w:t>
            </w:r>
          </w:p>
        </w:tc>
        <w:tc>
          <w:tcPr>
            <w:tcW w:w="3969" w:type="dxa"/>
          </w:tcPr>
          <w:p w14:paraId="6A87AAAA" w14:textId="18982401" w:rsidR="008E32C8" w:rsidRDefault="00F22098">
            <w:r>
              <w:t>Study cohort</w:t>
            </w:r>
          </w:p>
        </w:tc>
        <w:tc>
          <w:tcPr>
            <w:tcW w:w="2398" w:type="dxa"/>
          </w:tcPr>
          <w:p w14:paraId="71AB391C" w14:textId="6C12D8F0" w:rsidR="008E32C8" w:rsidRDefault="00F22098">
            <w:r>
              <w:t>Yes</w:t>
            </w:r>
          </w:p>
        </w:tc>
      </w:tr>
      <w:tr w:rsidR="008E32C8" w14:paraId="50F1314D" w14:textId="77777777" w:rsidTr="00AB5C03">
        <w:tc>
          <w:tcPr>
            <w:tcW w:w="2689" w:type="dxa"/>
          </w:tcPr>
          <w:p w14:paraId="2CA1872E" w14:textId="1D12646B" w:rsidR="008E32C8" w:rsidRPr="00F70D04" w:rsidRDefault="00F70D04">
            <w:pPr>
              <w:rPr>
                <w:lang w:val="de-DE"/>
              </w:rPr>
            </w:pPr>
            <w:r>
              <w:fldChar w:fldCharType="begin" w:fldLock="1"/>
            </w:r>
            <w:r w:rsidR="00AB5C03">
              <w:rPr>
                <w:lang w:val="de-DE"/>
              </w:rPr>
              <w:instrText>ADDIN CSL_CITATION {"citationItems":[{"id":"ITEM-1","itemData":{"DOI":"10.1111/CLR.12657","ISSN":"1600-0501","PMID":"26173463","abstract":"Objective: To assess the oral health-related quality of life (OHRQoL) of patients provided with mandibular implant fixed partial prostheses (IFPP) for rehabilitation of two adjacent missing posterior teeth and complete denture patients provided with mandibular implant-supported overdenture (ISOD). The response to change in OHRQoL with implant prostheses was additionally compared. Material and methods: In this prospective study, 20 IFPP (mean age 47.0; SD 12.9 years) and 28 ISOD (mean age 61.5; SD 9.1 years) patients received 2 mandibular implants. Metal ceramic nonsplinted fixed prostheses were provided in IFPP group, while in ISOD group, the mandibular overdentures were retained by nonsplinted attachments. Patients rated their oral health-related quality of life using OHIP-14 Malaysian version at baseline (T0), 2–3 months (T1) and 1 year (T2) postimplant treatment. Mean OHIP-14 for total and domain scores between groups and intervals was analysed using repeated-measures ANOVA and t-test. Mann–Whitney and Wilcoxon signed–rank tests were used for the comparison of mean score change and effect size, while the association between pre- and post-treatment scores was determined using multivariate linear regression modelling. Results: The total OHIP and domain scores before implant treatment were significantly higher (lower OHRQoL) in IFPP than in ISOD groups, except for physical pain where this domain showed similar impact in both groups. Postimplant scores between groups at T1 and T2 showed no significant difference. The mean score changes at T0–T1 and T0–T2 for total OHIP-14 and domains were significantly greater in IFPP except in the domains of physical pain and disability which showed no difference. Large effect size (ES) was observed for total OHIP-14 in IFPP while moderate in ISOD. Improved OHRQoL was dependent on the treatment group and pretreatment score. Conclusion: Improvement in OHRQoL occurred following both mandibular implant-supported overdentures and implant fixed partial prostheses.","author":[{"dropping-particle":"","family":"Yunus","given":"Norsiah","non-dropping-particle":"","parse-names":false,"suffix":""},{"dropping-particle":"","family":"Masood","given":"Mohd","non-dropping-particle":"","parse-names":false,"suffix":""},{"dropping-particle":"","family":"Saub","given":"Roslan","non-dropping-particle":"","parse-names":false,"suffix":""},{"dropping-particle":"","family":"Al-Hashedi","given":"Ashwaq Ali","non-dropping-particle":"","parse-names":false,"suffix":""},{"dropping-particle":"","family":"Taiyeb Ali","given":"Tara Bai","non-dropping-particle":"","parse-names":false,"suffix":""},{"dropping-particle":"","family":"Thomason","given":"John Mark","non-dropping-particle":"","parse-names":false,"suffix":""}],"container-title":"Clinical oral implants research","id":"ITEM-1","issue":"7","issued":{"date-parts":[["2016","7","1"]]},"page":"904-909","publisher":"Clin Oral Implants Res","title":"Impact of mandibular implant prostheses on the oral health-related quality of life in partially and completely edentulous patients","type":"article-journal","volume":"27"},"uris":["http://www.mendeley.com/documents/?uuid=fc38184b-f5c1-3a58-a47e-8e408595cc95"]}],"mendeley":{"formattedCitation":"(Yunus et al., 2016)","manualFormatting":"Yunus et al., (2016)","plainTextFormattedCitation":"(Yunus et al., 2016)","previouslyFormattedCitation":"(Yunus et al., 2016)"},"properties":{"noteIndex":0},"schema":"https://github.com/citation-style-language/schema/raw/master/csl-citation.json"}</w:instrText>
            </w:r>
            <w:r>
              <w:fldChar w:fldCharType="separate"/>
            </w:r>
            <w:r w:rsidRPr="00F70D04">
              <w:rPr>
                <w:noProof/>
                <w:lang w:val="de-DE"/>
              </w:rPr>
              <w:t xml:space="preserve">Yunus et al., </w:t>
            </w:r>
            <w:r w:rsidR="00AB5C03">
              <w:rPr>
                <w:noProof/>
                <w:lang w:val="de-DE"/>
              </w:rPr>
              <w:t>(</w:t>
            </w:r>
            <w:r w:rsidRPr="00F70D04">
              <w:rPr>
                <w:noProof/>
                <w:lang w:val="de-DE"/>
              </w:rPr>
              <w:t>2016)</w:t>
            </w:r>
            <w:r>
              <w:fldChar w:fldCharType="end"/>
            </w:r>
          </w:p>
        </w:tc>
        <w:tc>
          <w:tcPr>
            <w:tcW w:w="3969" w:type="dxa"/>
          </w:tcPr>
          <w:p w14:paraId="4BCBAFB3" w14:textId="0E994E24" w:rsidR="008E32C8" w:rsidRDefault="00F22098">
            <w:r>
              <w:t>Antagonist dentition</w:t>
            </w:r>
          </w:p>
        </w:tc>
        <w:tc>
          <w:tcPr>
            <w:tcW w:w="2398" w:type="dxa"/>
          </w:tcPr>
          <w:p w14:paraId="60204483" w14:textId="5647E87E" w:rsidR="008E32C8" w:rsidRDefault="00F22098">
            <w:r>
              <w:t>Yes</w:t>
            </w:r>
          </w:p>
        </w:tc>
      </w:tr>
      <w:tr w:rsidR="008E32C8" w14:paraId="59C651BA" w14:textId="77777777" w:rsidTr="00AB5C03">
        <w:tc>
          <w:tcPr>
            <w:tcW w:w="2689" w:type="dxa"/>
          </w:tcPr>
          <w:p w14:paraId="4FFD3D66" w14:textId="48188A1A" w:rsidR="008E32C8" w:rsidRDefault="005449EB">
            <w:r>
              <w:fldChar w:fldCharType="begin" w:fldLock="1"/>
            </w:r>
            <w:r w:rsidR="00AB5C03">
              <w:instrText>ADDIN CSL_CITATION {"citationItems":[{"id":"ITEM-1","itemData":{"DOI":"10.1016/J.JPOR.2015.12.010","ISSN":"2212-4632","PMID":"26803560","abstract":"Purpose The aim of this preliminary study is to compare patient-reported outcomes between immediately and conventionally loaded mandibular two-implant overdentures retained by magnetic attachments. Methods Nineteen participants with edentulous mandibles were randomly assigned into either an immediate loading group (immediate group) or a conventional loading group (conventional group). Each participant received 2 implants in the inter-foraminal region by means of flapless surgery. Prostheses in the immediate and conventional groups were loaded using magnetic attachments on the same day as implant placement or 3 months after surgery, respectively. All participants completed questionnaires (the Japanese version of the Oral Health Impact Profile for edentulous [OHIP-EDENT-J], the patient's denture assessment [PDA], and general satisfaction) before implant placement (baseline) and 1, 2, 3, 4, 5, 6, and 12 months after surgery. The median differences between baseline and each monthly score were compared using the Mann–Whitney U test. The differences in median and 95% confidence interval between two groups were analyzed. Results The immediate group showed slightly lower OHIP-EDENT-J summary score at 1 and 3 months than the conventional group (P = 0.09). In the lower denture domain of PDA, the immediate group showed a statistically higher score at 3 months (P = 0.04). There was no statistically significant difference in general satisfaction between the two groups. Conclusions Based on this preliminary study, immediate loading of mandibular two-implant overdentures with magnetic attachments tends to improve oral health-related quality of life and patient assessment earlier than observed with a conventional loading protocol.","author":[{"dropping-particle":"","family":"Omura","given":"Yuri","non-dropping-particle":"","parse-names":false,"suffix":""},{"dropping-particle":"","family":"Kanazawa","given":"Manabu","non-dropping-particle":"","parse-names":false,"suffix":""},{"dropping-particle":"","family":"Sato","given":"Daisuke","non-dropping-particle":"","parse-names":false,"suffix":""},{"dropping-particle":"","family":"Kasugai","given":"Shohei","non-dropping-particle":"","parse-names":false,"suffix":""},{"dropping-particle":"","family":"Minakuchi","given":"Shunsuke","non-dropping-particle":"","parse-names":false,"suffix":""}],"container-title":"Journal of prosthodontic research","id":"ITEM-1","issue":"3","issued":{"date-parts":[["2016","7","1"]]},"page":"185-192","publisher":"J Prosthodont Res","title":"Comparison of patient-reported outcomes between immediately and conventionally loaded mandibular two-implant overdentures: A preliminary study","type":"article-journal","volume":"60"},"uris":["http://www.mendeley.com/documents/?uuid=6e38fc5a-063b-3dcc-a9c9-c0cbd42489cb"]}],"mendeley":{"formattedCitation":"(Omura et al., 2016)","manualFormatting":"Omura et al., (2016)","plainTextFormattedCitation":"(Omura et al., 2016)","previouslyFormattedCitation":"(Omura et al., 2016)"},"properties":{"noteIndex":0},"schema":"https://github.com/citation-style-language/schema/raw/master/csl-citation.json"}</w:instrText>
            </w:r>
            <w:r>
              <w:fldChar w:fldCharType="separate"/>
            </w:r>
            <w:r w:rsidRPr="005449EB">
              <w:rPr>
                <w:noProof/>
              </w:rPr>
              <w:t xml:space="preserve">Omura et al., </w:t>
            </w:r>
            <w:r w:rsidR="00AB5C03">
              <w:rPr>
                <w:noProof/>
              </w:rPr>
              <w:t>(</w:t>
            </w:r>
            <w:r w:rsidRPr="005449EB">
              <w:rPr>
                <w:noProof/>
              </w:rPr>
              <w:t>2016)</w:t>
            </w:r>
            <w:r>
              <w:fldChar w:fldCharType="end"/>
            </w:r>
          </w:p>
        </w:tc>
        <w:tc>
          <w:tcPr>
            <w:tcW w:w="3969" w:type="dxa"/>
          </w:tcPr>
          <w:p w14:paraId="2A576185" w14:textId="77777777" w:rsidR="00F22098" w:rsidRDefault="00F22098" w:rsidP="00F22098">
            <w:r>
              <w:t>Study cohort</w:t>
            </w:r>
          </w:p>
          <w:p w14:paraId="41295782" w14:textId="7544E5C2" w:rsidR="008E32C8" w:rsidRDefault="00F22098" w:rsidP="00F22098">
            <w:r>
              <w:t>Antagonist dentition</w:t>
            </w:r>
          </w:p>
        </w:tc>
        <w:tc>
          <w:tcPr>
            <w:tcW w:w="2398" w:type="dxa"/>
          </w:tcPr>
          <w:p w14:paraId="6A0EEDD1" w14:textId="2C9B20D9" w:rsidR="008E32C8" w:rsidRDefault="00F22098">
            <w:r>
              <w:t>Yes</w:t>
            </w:r>
          </w:p>
        </w:tc>
      </w:tr>
      <w:tr w:rsidR="008E32C8" w14:paraId="3A1598C5" w14:textId="77777777" w:rsidTr="00AB5C03">
        <w:tc>
          <w:tcPr>
            <w:tcW w:w="2689" w:type="dxa"/>
          </w:tcPr>
          <w:p w14:paraId="0308081D" w14:textId="14CC32B7" w:rsidR="008E32C8" w:rsidRPr="005449EB" w:rsidRDefault="005449EB" w:rsidP="0026221F">
            <w:pPr>
              <w:rPr>
                <w:lang w:val="de-DE"/>
              </w:rPr>
            </w:pPr>
            <w:r>
              <w:fldChar w:fldCharType="begin" w:fldLock="1"/>
            </w:r>
            <w:r w:rsidR="00AB5C03">
              <w:rPr>
                <w:lang w:val="de-DE"/>
              </w:rPr>
              <w:instrText>ADDIN CSL_CITATION {"citationItems":[{"id":"ITEM-1","itemData":{"DOI":"10.1111/CLR.12514","ISSN":"1600-0501","PMID":"25346286","abstract":"Objectives: The purpose of this study was to compare patient satisfaction and oral health-related quality of life (OHRQoL) among fully edentulous patients treated with either fixed implant-supported prostheses (FP), removable implant-supported prostheses (RP), or complete dentures (CD). Material and Methods: Eighty-six patients - 29 FP, 27 RP, and 30 CD patients - participated in this study. The survey was conducted using face-to-face interviews with a questionnaire that included a patient satisfaction scale and Oral Health Impact Profile (OHIP-14). We measured patient satisfaction after prosthetic treatments and OHRQoL before and after the treatments. Results: After prosthetic treatments, OHRQoL increased in all three groups (P &lt; 0.05). The FP and RP groups showed no significant difference in patient satisfaction and OHRQoL, and both groups showed greater improvement compared with the CD group. Specifically, the OHRQoL dimensions of functional limitation, physical pain, psychological discomfort, and psychological disability in the FP group, and functional limitation in the RP group, improved greatly in comparison with the CD group (P &lt; 0.05). Conclusions: Although further research is still needed, prosthetic treatments may provide superior OHRQoL for fully edentulous patients. In particular, both the FP and RP treatments provided significantly greater improvement of OHRQoL and patient satisfaction than the CD treatment. Reliable information of OHRQoL and patient satisfaction helps experts and patients choose the best prosthetic treatment option.","author":[{"dropping-particle":"","family":"Oh","given":"Sung Hee","non-dropping-particle":"","parse-names":false,"suffix":""},{"dropping-particle":"","family":"Kim","given":"Younhee","non-dropping-particle":"","parse-names":false,"suffix":""},{"dropping-particle":"","family":"Park","given":"Joo Yeon","non-dropping-particle":"","parse-names":false,"suffix":""},{"dropping-particle":"","family":"Jung","given":"Yea Ji","non-dropping-particle":"","parse-names":false,"suffix":""},{"dropping-particle":"","family":"Kim","given":"Seong Kyun","non-dropping-particle":"","parse-names":false,"suffix":""},{"dropping-particle":"","family":"Park","given":"Sun Young","non-dropping-particle":"","parse-names":false,"suffix":""}],"container-title":"Clinical oral implants research","id":"ITEM-1","issue":"2","issued":{"date-parts":[["2016","2","1"]]},"page":"e31-e37","publisher":"Clin Oral Implants Res","title":"Comparison of fixed implant-supported prostheses, removable implant-supported prostheses, and complete dentures: patient satisfaction and oral health-related quality of life","type":"article-journal","volume":"27"},"uris":["http://www.mendeley.com/documents/?uuid=cc48286c-0c87-328c-a19e-94d62d0fb126"]}],"mendeley":{"formattedCitation":"(Oh et al., 2016)","manualFormatting":"Oh et al., (2016)","plainTextFormattedCitation":"(Oh et al., 2016)","previouslyFormattedCitation":"(Oh et al., 2016)"},"properties":{"noteIndex":0},"schema":"https://github.com/citation-style-language/schema/raw/master/csl-citation.json"}</w:instrText>
            </w:r>
            <w:r>
              <w:fldChar w:fldCharType="separate"/>
            </w:r>
            <w:r w:rsidRPr="005449EB">
              <w:rPr>
                <w:noProof/>
                <w:lang w:val="de-DE"/>
              </w:rPr>
              <w:t xml:space="preserve">Oh et al., </w:t>
            </w:r>
            <w:r w:rsidR="00AB5C03">
              <w:rPr>
                <w:noProof/>
                <w:lang w:val="de-DE"/>
              </w:rPr>
              <w:t>(</w:t>
            </w:r>
            <w:r w:rsidRPr="005449EB">
              <w:rPr>
                <w:noProof/>
                <w:lang w:val="de-DE"/>
              </w:rPr>
              <w:t>2016)</w:t>
            </w:r>
            <w:r>
              <w:fldChar w:fldCharType="end"/>
            </w:r>
          </w:p>
        </w:tc>
        <w:tc>
          <w:tcPr>
            <w:tcW w:w="3969" w:type="dxa"/>
          </w:tcPr>
          <w:p w14:paraId="662BFC8D" w14:textId="46A1305E" w:rsidR="008E32C8" w:rsidRDefault="00F22098" w:rsidP="0026221F">
            <w:r>
              <w:t>Antagonist dentition</w:t>
            </w:r>
          </w:p>
        </w:tc>
        <w:tc>
          <w:tcPr>
            <w:tcW w:w="2398" w:type="dxa"/>
          </w:tcPr>
          <w:p w14:paraId="40849A05" w14:textId="7F95B058" w:rsidR="008E32C8" w:rsidRDefault="00F22098" w:rsidP="0026221F">
            <w:r>
              <w:t>Yes</w:t>
            </w:r>
          </w:p>
        </w:tc>
      </w:tr>
      <w:tr w:rsidR="008E32C8" w14:paraId="480F246E" w14:textId="77777777" w:rsidTr="00AB5C03">
        <w:tc>
          <w:tcPr>
            <w:tcW w:w="2689" w:type="dxa"/>
          </w:tcPr>
          <w:p w14:paraId="69928712" w14:textId="6AA20A5A" w:rsidR="008E32C8" w:rsidRDefault="005449EB" w:rsidP="0026221F">
            <w:r>
              <w:fldChar w:fldCharType="begin" w:fldLock="1"/>
            </w:r>
            <w:r w:rsidR="00AB5C03">
              <w:instrText>ADDIN CSL_CITATION {"citationItems":[{"id":"ITEM-1","itemData":{"DOI":"10.4103/2319-4170.131384","ISSN":"2320-2890","PMID":"24923574","abstract":"Background: The purpose of this study was to compare patients subjective experiences with respect to long-term satisfaction with mandibular implant-retained overdentures versus conventional complete dentures. Methods: Among 85 completely edentulous patients, 60 were treated with four one-stage titanium implants and overdentures retained by a cast bar with extracoronal attachments. These patients constituted the experimental group, and were subsequently evaluated clinically over a period of up to 6 years. The other 25 patients constituted the control group and were treated with conventional complete dentures without implant retained. All the patients (n = 60) in the experimental group responded to questions on their experiences before and after treatment with the implant-retained overdentures. Sixty percent (n = 15) of the 25 patients in the control group responded to the questionnaire. Results: No implants or restorations failed during the observation period. The experimental group, however, showed significant differences with the control group in terms of their responses to the questionnaire. Conclusion: The use of implants to retain and support the overdenture improved comfort and gave the experimental patients greater self-confidence in social interactions, in addition to more effective oral rehabilitation. The results demonstrate that the effects of rehabilitation of the mandibular arch with an implant-retained overdenture are predictable.","author":[{"dropping-particle":"","family":"Pan","given":"Yu Hwa","non-dropping-particle":"","parse-names":false,"suffix":""},{"dropping-particle":"","family":"Lin","given":"Tai Min","non-dropping-particle":"","parse-names":false,"suffix":""},{"dropping-particle":"","family":"Liang","given":"Chao Hua","non-dropping-particle":"","parse-names":false,"suffix":""}],"container-title":"Biomedical journal","id":"ITEM-1","issue":"3","issued":{"date-parts":[["2014"]]},"page":"156-162","publisher":"Biomed J","title":"Comparison of patient's satisfaction with implant-supported mandibular overdentures and complete dentures","type":"article-journal","volume":"37"},"uris":["http://www.mendeley.com/documents/?uuid=1a273416-f53c-3fd8-b149-3c2c389d56fc"]}],"mendeley":{"formattedCitation":"(Pan et al., 2014)","manualFormatting":"Pan et al., (2014)","plainTextFormattedCitation":"(Pan et al., 2014)","previouslyFormattedCitation":"(Pan et al., 2014)"},"properties":{"noteIndex":0},"schema":"https://github.com/citation-style-language/schema/raw/master/csl-citation.json"}</w:instrText>
            </w:r>
            <w:r>
              <w:fldChar w:fldCharType="separate"/>
            </w:r>
            <w:r w:rsidRPr="005449EB">
              <w:rPr>
                <w:noProof/>
              </w:rPr>
              <w:t xml:space="preserve">Pan et al., </w:t>
            </w:r>
            <w:r w:rsidR="00AB5C03">
              <w:rPr>
                <w:noProof/>
              </w:rPr>
              <w:t>(</w:t>
            </w:r>
            <w:r w:rsidRPr="005449EB">
              <w:rPr>
                <w:noProof/>
              </w:rPr>
              <w:t>2014)</w:t>
            </w:r>
            <w:r>
              <w:fldChar w:fldCharType="end"/>
            </w:r>
          </w:p>
        </w:tc>
        <w:tc>
          <w:tcPr>
            <w:tcW w:w="3969" w:type="dxa"/>
          </w:tcPr>
          <w:p w14:paraId="21174214" w14:textId="77777777" w:rsidR="00F22098" w:rsidRDefault="00F22098" w:rsidP="00F22098">
            <w:r>
              <w:t>Antagonist dentition</w:t>
            </w:r>
          </w:p>
          <w:p w14:paraId="35549EA6" w14:textId="144EBC2E" w:rsidR="008E32C8" w:rsidRDefault="00F22098" w:rsidP="00F22098">
            <w:r>
              <w:t>Type of PROMs</w:t>
            </w:r>
          </w:p>
        </w:tc>
        <w:tc>
          <w:tcPr>
            <w:tcW w:w="2398" w:type="dxa"/>
          </w:tcPr>
          <w:p w14:paraId="0A57095E" w14:textId="3BBA9292" w:rsidR="008E32C8" w:rsidRDefault="00F22098" w:rsidP="0026221F">
            <w:r>
              <w:t>Yes</w:t>
            </w:r>
          </w:p>
        </w:tc>
      </w:tr>
      <w:tr w:rsidR="008E32C8" w14:paraId="30566FC7" w14:textId="77777777" w:rsidTr="00AB5C03">
        <w:tc>
          <w:tcPr>
            <w:tcW w:w="2689" w:type="dxa"/>
          </w:tcPr>
          <w:p w14:paraId="07F55C2B" w14:textId="69B1724B" w:rsidR="008E32C8" w:rsidRPr="005449EB" w:rsidRDefault="005449EB" w:rsidP="0026221F">
            <w:pPr>
              <w:rPr>
                <w:lang w:val="de-DE"/>
              </w:rPr>
            </w:pPr>
            <w:r>
              <w:fldChar w:fldCharType="begin" w:fldLock="1"/>
            </w:r>
            <w:r w:rsidR="00AB5C03">
              <w:rPr>
                <w:lang w:val="de-DE"/>
              </w:rPr>
              <w:instrText>ADDIN CSL_CITATION {"citationItems":[{"id":"ITEM-1","itemData":{"DOI":"10.1111/J.1708-8208.2009.00154.X","ISSN":"1708-8208","PMID":"19416278","abstract":"Background: There is a lack of clinical studies on the self-aligning attachment system (Locator®; Zest Anchors, Inc. homepage, Escondido, CA, USA) for two-implant-retained overdentures in the edentulous mandible. Therefore, a comparison of the Locator with two traditional designs (a rotational gold matrix and a rubber O-ring type) in clinical 1-year use was conducted. Materials and Methods: From 2003 to 2007, 60 patients received two Osseotite® TG Standard implants (BIOMET 3i Implant Innovations, Palm Beach Gardens, FL, USA) in the intraforaminal area of the edentulous mandible. The implants were left unloaded for 3.5 months, randomized to three different attachment systems, and loaded through a mandibular overdenture. Twenty-three patients received a self-aligning attachment system (Locator) and 33 patients a ball attachment (Dal-Ro®[BIOMET 3i Implant Innovations]. n = 25; TG-O-Ring®[Cendres &amp; Metaux SA, Biel-Bienne, Switzerland]. n = 8). After 12 months of delivery of the overdentures, the oral situation was evaluated: prosthodontic maintenance and biologic complications, subjective patients' experience, and oral health-related life quality (Oral Health Impact Profile [OHIP-G 49]). Results: After 1-year of clinical service, 8 of 120 implants were lost (9.6%). The Locator system brought up 34 prosthetic complications, especially the need for change of the male parts or activation because of loss of retention. The TG-O-Ring patients showed 14 complications, most of them the change of the O-Rings. The patients with the Dal-Ro abutment had seven minor complications in 12 months of clinical use. Biologic complications and patients' oral health-related life quality showed no significant difference among the three experimental groups. Conclusions: Prosthodontic maintenance was restricted to loss of retention for all systems. Within the observation period of this study, the self-aligning attachment system showed a higher rate of maintenance than the ball attachments. The patients' oral health-related life qualities as well as the biologic parameters do not differ when using the three abutment systems. © 2009, Copyright the Authors. Journal Compilation © 2009, Wiley Periodicals, Inc.","author":[{"dropping-particle":"","family":"Kleis","given":"Wilfried K.","non-dropping-particle":"","parse-names":false,"suffix":""},{"dropping-particle":"","family":"Kämmerer","given":"Peer W.","non-dropping-particle":"","parse-names":false,"suffix":""},{"dropping-particle":"","family":"Hartmann","given":"Sinsa","non-dropping-particle":"","parse-names":false,"suffix":""},{"dropping-particle":"","family":"Al-Nawas","given":"Bilal","non-dropping-particle":"","parse-names":false,"suffix":""},{"dropping-particle":"","family":"Wagner","given":"Wilfried","non-dropping-particle":"","parse-names":false,"suffix":""}],"container-title":"Clinical implant dentistry and related research","id":"ITEM-1","issue":"3","issued":{"date-parts":[["2010","9"]]},"page":"209-218","publisher":"Clin Implant Dent Relat Res","title":"A comparison of three different attachment systems for mandibular two-implant overdentures: one-year report","type":"article-journal","volume":"12"},"uris":["http://www.mendeley.com/documents/?uuid=1eae6ddc-3733-3833-a895-3749d7948426"]}],"mendeley":{"formattedCitation":"(Kleis et al., 2010)","manualFormatting":"Kleis et al., (2010)","plainTextFormattedCitation":"(Kleis et al., 2010)","previouslyFormattedCitation":"(Kleis et al., 2010)"},"properties":{"noteIndex":0},"schema":"https://github.com/citation-style-language/schema/raw/master/csl-citation.json"}</w:instrText>
            </w:r>
            <w:r>
              <w:fldChar w:fldCharType="separate"/>
            </w:r>
            <w:r w:rsidRPr="005449EB">
              <w:rPr>
                <w:noProof/>
                <w:lang w:val="de-DE"/>
              </w:rPr>
              <w:t xml:space="preserve">Kleis et al., </w:t>
            </w:r>
            <w:r w:rsidR="00AB5C03">
              <w:rPr>
                <w:noProof/>
                <w:lang w:val="de-DE"/>
              </w:rPr>
              <w:t>(</w:t>
            </w:r>
            <w:r w:rsidRPr="005449EB">
              <w:rPr>
                <w:noProof/>
                <w:lang w:val="de-DE"/>
              </w:rPr>
              <w:t>2010)</w:t>
            </w:r>
            <w:r>
              <w:fldChar w:fldCharType="end"/>
            </w:r>
          </w:p>
        </w:tc>
        <w:tc>
          <w:tcPr>
            <w:tcW w:w="3969" w:type="dxa"/>
          </w:tcPr>
          <w:p w14:paraId="6ADD86AE" w14:textId="22AD9515" w:rsidR="008E32C8" w:rsidRDefault="00F22098" w:rsidP="0026221F">
            <w:r>
              <w:t>Antagonist dentition</w:t>
            </w:r>
          </w:p>
        </w:tc>
        <w:tc>
          <w:tcPr>
            <w:tcW w:w="2398" w:type="dxa"/>
          </w:tcPr>
          <w:p w14:paraId="4F84AFBB" w14:textId="120DEFF0" w:rsidR="008E32C8" w:rsidRDefault="00F22098" w:rsidP="0026221F">
            <w:r>
              <w:t>Yes</w:t>
            </w:r>
          </w:p>
        </w:tc>
      </w:tr>
      <w:tr w:rsidR="00F22098" w14:paraId="4E96341C" w14:textId="77777777" w:rsidTr="00AB5C03">
        <w:tc>
          <w:tcPr>
            <w:tcW w:w="2689" w:type="dxa"/>
          </w:tcPr>
          <w:p w14:paraId="251F7972" w14:textId="3FD0E528" w:rsidR="00F22098" w:rsidRPr="005449EB" w:rsidRDefault="005449EB" w:rsidP="00F22098">
            <w:pPr>
              <w:rPr>
                <w:lang w:val="de-DE"/>
              </w:rPr>
            </w:pPr>
            <w:r>
              <w:fldChar w:fldCharType="begin" w:fldLock="1"/>
            </w:r>
            <w:r w:rsidR="00AB5C03">
              <w:rPr>
                <w:lang w:val="de-DE"/>
              </w:rPr>
              <w:instrText>ADDIN CSL_CITATION {"citationItems":[{"id":"ITEM-1","itemData":{"DOI":"10.1016/j.jdent.2018.05.019","ISSN":"03005712","PMID":"29852211","abstract":"Objectives: The aim of this study was to assess long-term changes in oral health-related quality of life (OHRQoL) over a period of 5 years in patients treated with narrow diameter implants (NDI) in the mandible for support of an overdenture. Methods: In this prospective clinical study, a consecutive sample of 20 edentulous patients who had worn sufficient complete dentures for at least 12 weeks was provided with four immediately loaded one-piece titanium NDIs in the mandible. The German 49-item version of the Oral Health Impact Profile (OHIP) was applied to assess OHRQoL at baseline and all follow-ups (4 and 8 weeks, 3, 6, and 12 months, and 3 and 5 years after treatment was finished). Results: Before treatment, OHRQoL was substantially impaired indicated by high OHIP summary score (39.9 points). Four weeks after treatment, a substantial treatment-induced drop of OHRQoL impairment was observed (21.8 OHIP points), and at all follow-ups, OHIP scores were lower than at baseline (15.9–26.5 OHIP points; ANOVA: p&lt;.001). Based on mixed-effect linear regression analyses, the treatment-induced effect on OHRQoL improvement over the entire study period was statistically significant for the OHIP summary scores as well as for all four OHIP domains: Oral Function, Orofacial Pain, Orofacial Appearance, and Psychosocial Impact (all: p&lt;.001). Conclusions: This study suggests that four immediately loaded NDIs for the support of conventional complete dentures in edentulous patients with substantially impaired OHRQoL may lead to a long-lasting treatment-induced improvement in OHRQoL. Clinical significance: The provision of four NDI in the edentulous mandible is a promising treatment option for patients with substantial OHRQoL impairment and a positive attitude towards implant treatment. Furthermore, patients can be informed that improvements in OHRQoL are expected to last for at least 5 years.","author":[{"dropping-particle":"","family":"Reissmann","given":"Daniel R.","non-dropping-particle":"","parse-names":false,"suffix":""},{"dropping-particle":"","family":"Enkling","given":"Norbert","non-dropping-particle":"","parse-names":false,"suffix":""},{"dropping-particle":"","family":"Moazzin","given":"Rim","non-dropping-particle":"","parse-names":false,"suffix":""},{"dropping-particle":"","family":"Haueter","given":"Marius","non-dropping-particle":"","parse-names":false,"suffix":""},{"dropping-particle":"","family":"Worni","given":"Andreas","non-dropping-particle":"","parse-names":false,"suffix":""},{"dropping-particle":"","family":"Schimmel","given":"Martin","non-dropping-particle":"","parse-names":false,"suffix":""}],"container-title":"Journal of Dentistry","id":"ITEM-1","issue":"March","issued":{"date-parts":[["2018"]]},"page":"84-90","publisher":"Elsevier","title":"Long-term changes in oral health-related quality of life over a period of 5 years in patients treated with narrow diameter implants: A prospective clinical study","type":"article-journal","volume":"75"},"uris":["http://www.mendeley.com/documents/?uuid=c5b5969a-1829-452a-be04-e0ea867fc748"]}],"mendeley":{"formattedCitation":"(Reissmann et al., 2018)","manualFormatting":"Reissmann et al., (2018)","plainTextFormattedCitation":"(Reissmann et al., 2018)","previouslyFormattedCitation":"(Reissmann et al., 2018)"},"properties":{"noteIndex":0},"schema":"https://github.com/citation-style-language/schema/raw/master/csl-citation.json"}</w:instrText>
            </w:r>
            <w:r>
              <w:fldChar w:fldCharType="separate"/>
            </w:r>
            <w:r w:rsidRPr="005449EB">
              <w:rPr>
                <w:noProof/>
                <w:lang w:val="de-DE"/>
              </w:rPr>
              <w:t xml:space="preserve">Reissmann et al., </w:t>
            </w:r>
            <w:r w:rsidR="00AB5C03">
              <w:rPr>
                <w:noProof/>
                <w:lang w:val="de-DE"/>
              </w:rPr>
              <w:t>(</w:t>
            </w:r>
            <w:r w:rsidRPr="005449EB">
              <w:rPr>
                <w:noProof/>
                <w:lang w:val="de-DE"/>
              </w:rPr>
              <w:t>2018)</w:t>
            </w:r>
            <w:r>
              <w:fldChar w:fldCharType="end"/>
            </w:r>
          </w:p>
        </w:tc>
        <w:tc>
          <w:tcPr>
            <w:tcW w:w="3969" w:type="dxa"/>
          </w:tcPr>
          <w:p w14:paraId="4382E36E" w14:textId="491BDB21" w:rsidR="00F22098" w:rsidRDefault="00F22098" w:rsidP="00F22098">
            <w:r>
              <w:t>Study cohort</w:t>
            </w:r>
          </w:p>
        </w:tc>
        <w:tc>
          <w:tcPr>
            <w:tcW w:w="2398" w:type="dxa"/>
          </w:tcPr>
          <w:p w14:paraId="0F5BC4B6" w14:textId="52C6072B" w:rsidR="00F22098" w:rsidRDefault="00F22098" w:rsidP="00F22098">
            <w:r>
              <w:t>Yes</w:t>
            </w:r>
          </w:p>
        </w:tc>
      </w:tr>
      <w:tr w:rsidR="00F22098" w14:paraId="34F0E0E5" w14:textId="77777777" w:rsidTr="00AB5C03">
        <w:tc>
          <w:tcPr>
            <w:tcW w:w="2689" w:type="dxa"/>
          </w:tcPr>
          <w:p w14:paraId="735A06A3" w14:textId="35072B5C" w:rsidR="00F22098" w:rsidRDefault="00C3726D" w:rsidP="00F22098">
            <w:r>
              <w:fldChar w:fldCharType="begin" w:fldLock="1"/>
            </w:r>
            <w:r w:rsidR="00AB5C03">
              <w:instrText>ADDIN CSL_CITATION {"citationItems":[{"id":"ITEM-1","itemData":{"ISSN":"17562414","PMID":"23304690","abstract":"Aim: The aim of this 1-year prospective cohort study was to evaluate the outcomes and complications of immediately loaded mini dental implants used for stabilizing mandibular overdentures in edentulous patients wearing conventional complete dentures. Materials and methods: Thirty patients received mandibular conventional complete dentures that were subsequently retained by 4 immediately loaded mini dental implants placed in the interforaminal region. Overdenture success, implant success and biological and prosthetic complications were evaluated after the first year of service. Quality of life using the Oral Heath Impact Profile (OHIP)- EDENT test, satisfaction with dental prosthesis and chewing efficiency using questionnaires and a Visual Analogue Scale (VAS) were evaluated twice: after they had received mandibular complete dentures, and again after they had received mandibular overdentures. Results: After 1 year, no overdenture failed and 2 implants did not osseointegrate, resulting in a 98.3% success rate for loaded implants and 95.9% for total implants used (3 out of 123 were not loaded due to fracture). A flap surgical approach was performed in 7 patients, 3 implants fractured during insertion, 3 overdentures fractured, occlusion balancing was necessary for 11 dentures and relining for 8. Implant rehabilitation provided significant improvement in quality of life, stability, comfort, chewing and speaking ability while no significant differences were found in quality of maintenance of hygiene and for aesthetics. Conclusions: Mini dental implant retained overdentures can be a successful therapeutic procedure for treating mandibular edentulism that improves quality of life, patient satisfaction and chewing ability in patients wearing maxillary dentures. Longer follow-ups are needed to validate this therapy in the medium and long-term. Conflict-of-interest statement: This study was sponsored by the School of Dentistry at Belgrade University, 3M ESPE (Seefeld, Germany) and Nuova Dentale (Belgrade, Serbia) under registration number: 1564/1.","author":[{"dropping-particle":"","family":"Šcepanovic","given":"Miodrag","non-dropping-particle":"","parse-names":false,"suffix":""},{"dropping-particle":"","family":"Calvo-Guirado","given":"Jose Luis","non-dropping-particle":"","parse-names":false,"suffix":""},{"dropping-particle":"","family":"Markovic","given":"Aleksa","non-dropping-particle":"","parse-names":false,"suffix":""},{"dropping-particle":"","family":"Delgado-Ruiz","given":"Rafael","non-dropping-particle":"","parse-names":false,"suffix":""},{"dropping-particle":"","family":"Todorovic","given":"Aleksandar","non-dropping-particle":"","parse-names":false,"suffix":""},{"dropping-particle":"","family":"Milicic","given":"Biljana","non-dropping-particle":"","parse-names":false,"suffix":""},{"dropping-particle":"","family":"Mišic","given":"Tijana","non-dropping-particle":"","parse-names":false,"suffix":""}],"container-title":"European Journal of Oral Implantology","id":"ITEM-1","issue":"4","issued":{"date-parts":[["2012","12","1"]]},"page":"367-379","publisher":"Quintessence Publishing Co., Ltd","title":"A 1-year prospective cohort study on mandibular overdentures retained by mini dental implants","type":"article-journal","volume":"5"},"uris":["http://www.mendeley.com/documents/?uuid=a4c29a6f-b503-337a-8b85-7491ada38af9"]}],"mendeley":{"formattedCitation":"(Šcepanovic et al., 2012)","manualFormatting":"Šcepanovic et al., (2012)","plainTextFormattedCitation":"(Šcepanovic et al., 2012)","previouslyFormattedCitation":"(Šcepanovic et al., 2012)"},"properties":{"noteIndex":0},"schema":"https://github.com/citation-style-language/schema/raw/master/csl-citation.json"}</w:instrText>
            </w:r>
            <w:r>
              <w:fldChar w:fldCharType="separate"/>
            </w:r>
            <w:r w:rsidRPr="00C3726D">
              <w:rPr>
                <w:noProof/>
              </w:rPr>
              <w:t xml:space="preserve">Šcepanovic et al., </w:t>
            </w:r>
            <w:r w:rsidR="00AB5C03">
              <w:rPr>
                <w:noProof/>
              </w:rPr>
              <w:t>(</w:t>
            </w:r>
            <w:r w:rsidRPr="00C3726D">
              <w:rPr>
                <w:noProof/>
              </w:rPr>
              <w:t>2012)</w:t>
            </w:r>
            <w:r>
              <w:fldChar w:fldCharType="end"/>
            </w:r>
          </w:p>
        </w:tc>
        <w:tc>
          <w:tcPr>
            <w:tcW w:w="3969" w:type="dxa"/>
          </w:tcPr>
          <w:p w14:paraId="5FBD8DB4" w14:textId="40D46154" w:rsidR="00F22098" w:rsidRDefault="00F22098" w:rsidP="00F22098">
            <w:r>
              <w:t>Study cohort</w:t>
            </w:r>
          </w:p>
        </w:tc>
        <w:tc>
          <w:tcPr>
            <w:tcW w:w="2398" w:type="dxa"/>
          </w:tcPr>
          <w:p w14:paraId="05F22137" w14:textId="6FBD7889" w:rsidR="00F22098" w:rsidRDefault="00F22098" w:rsidP="00F22098">
            <w:r>
              <w:t>Yes</w:t>
            </w:r>
          </w:p>
        </w:tc>
      </w:tr>
      <w:tr w:rsidR="00F22098" w14:paraId="1A5FC96F" w14:textId="77777777" w:rsidTr="00AB5C03">
        <w:tc>
          <w:tcPr>
            <w:tcW w:w="2689" w:type="dxa"/>
          </w:tcPr>
          <w:p w14:paraId="17F08796" w14:textId="27E29673" w:rsidR="00F22098" w:rsidRPr="00C3726D" w:rsidRDefault="00C3726D" w:rsidP="00F22098">
            <w:pPr>
              <w:rPr>
                <w:lang w:val="de-DE"/>
              </w:rPr>
            </w:pPr>
            <w:r>
              <w:fldChar w:fldCharType="begin" w:fldLock="1"/>
            </w:r>
            <w:r w:rsidR="00AB5C03">
              <w:rPr>
                <w:lang w:val="de-DE"/>
              </w:rPr>
              <w:instrText>ADDIN CSL_CITATION {"citationItems":[{"id":"ITEM-1","itemData":{"DOI":"10.11607/JOMI.7525","ISSN":"1942-4434","PMID":"31711087","abstract":"PURPOSE:\r\nTo investigate the influence of age and time since edentulism on masticatory function and quality of life related to oral health (OHRQoL) in totally edentulous patients after implant-retained mandibular overdenture (IMO) loading.\r\n\r\nMATERIALS AND METHODS:\r\nThe sample consisted of 33 patients categorized in two age groups (≤ 65 and &gt; 65 years, respectively), and two time since edentulism groups (&lt; 25 and ≥ 25 years). The masticatory function was evaluated through the masticatory performance and swallowing threshold tests before IMO loading, and 1, 3, 6, and 12 months after IMO loading. The OHRQoL was evaluated by applying the Oral Health Impact Profile (OHIP-EDENT) and Geriatric Oral Health Assessment Index (GOHAI) questionnaires, before loading and after 3, 6, and 12 months. Data were subjected to the Mann-Whitney test and Wilcoxon signed-rank test for paired samples.\r\n\r\nRESULTS:\r\nThe masticatory performance and swallowing threshold were not influenced by the age nor by time since edentulism, except 6 months after IMO loading when patients ≤ 65 years of age performed the swallowing threshold test in a significantly shorter time with a reduced number of masticatory cycles (P &lt; .05). The masticatory performance and swallowing threshold outcomes showed a gradual improvement up to 12 months, irrespective of the patient categorization. The GOHAI questionnaire scores showed that the OHRQoL was influenced by age in complete denture wearers with a difference between groups in the psychosocial and global domains. The time since edentulism was not affected by the GOHAI scores of complete denture wearers (P &lt; .05). The OHIP-EDENT questionnaire only indicated significant differences as a function of age or time since edentulism between complete denture wearers. Age was associated with significant differences in the physical pain domain outcome, while time since edentulism did not affect only the psychologic discomfort, psychologic inability, and handicap domains.\r\n\r\nCONCLUSION:\r\nNeither the age nor the time since edentulism influenced the masticatory function of IMO-wearing patients. However, IMO significantly improved the masticatory function in totally edentulous patients, and this is more evident for younger patients (≤ 65 years) with a shorter time since mandibular edentulism (&lt; 25 years). The OHRQoL is only influenced by age and time since edentulism in complete denture wearers; IMO treatment eliminates these differences.","author":[{"dropping-particle":"","family":"Schuster","given":"Alessandra","non-dropping-particle":"","parse-names":false,"suffix":""},{"dropping-particle":"","family":"Pastorino","given":"Diego","non-dropping-particle":"","parse-names":false,"suffix":""},{"dropping-particle":"","family":"Marcello-Machado","given":"Raissa","non-dropping-particle":"","parse-names":false,"suffix":""},{"dropping-particle":"","family":"Faot","given":"Fernanda","non-dropping-particle":"","parse-names":false,"suffix":""}],"container-title":"The International journal of oral &amp; maxillofacial implants","id":"ITEM-1","issue":"6","issued":{"date-parts":[["2019","11"]]},"page":"1466-1474","publisher":"Int J Oral Maxillofac Implants","title":"Influence of Age and Time Since Edentulism on Masticatory Function and Quality of Life in Implant-Retained Mandibular Overdenture Wearers: 1-year Results from a Paired Clinical Study","type":"article-journal","volume":"34"},"uris":["http://www.mendeley.com/documents/?uuid=23c36eb0-55e7-37be-9317-6e3da52c3b49"]}],"mendeley":{"formattedCitation":"(Schuster et al., 2019)","manualFormatting":"Schuster et al., (2019)","plainTextFormattedCitation":"(Schuster et al., 2019)","previouslyFormattedCitation":"(Schuster et al., 2019)"},"properties":{"noteIndex":0},"schema":"https://github.com/citation-style-language/schema/raw/master/csl-citation.json"}</w:instrText>
            </w:r>
            <w:r>
              <w:fldChar w:fldCharType="separate"/>
            </w:r>
            <w:r w:rsidRPr="00C3726D">
              <w:rPr>
                <w:noProof/>
                <w:lang w:val="de-DE"/>
              </w:rPr>
              <w:t xml:space="preserve">Schuster et al., </w:t>
            </w:r>
            <w:r w:rsidR="00AB5C03">
              <w:rPr>
                <w:noProof/>
                <w:lang w:val="de-DE"/>
              </w:rPr>
              <w:t>(</w:t>
            </w:r>
            <w:r w:rsidRPr="00C3726D">
              <w:rPr>
                <w:noProof/>
                <w:lang w:val="de-DE"/>
              </w:rPr>
              <w:t>2019)</w:t>
            </w:r>
            <w:r>
              <w:fldChar w:fldCharType="end"/>
            </w:r>
          </w:p>
        </w:tc>
        <w:tc>
          <w:tcPr>
            <w:tcW w:w="3969" w:type="dxa"/>
          </w:tcPr>
          <w:p w14:paraId="018E4988" w14:textId="2B277AF8" w:rsidR="00F22098" w:rsidRDefault="00F22098" w:rsidP="00F22098">
            <w:r>
              <w:t>Study cohort</w:t>
            </w:r>
          </w:p>
        </w:tc>
        <w:tc>
          <w:tcPr>
            <w:tcW w:w="2398" w:type="dxa"/>
          </w:tcPr>
          <w:p w14:paraId="4AA7972F" w14:textId="0BFC7913" w:rsidR="00F22098" w:rsidRDefault="00F22098" w:rsidP="00F22098">
            <w:r>
              <w:t>Yes</w:t>
            </w:r>
          </w:p>
        </w:tc>
      </w:tr>
      <w:tr w:rsidR="00F22098" w14:paraId="535DE99F" w14:textId="77777777" w:rsidTr="00AB5C03">
        <w:tc>
          <w:tcPr>
            <w:tcW w:w="2689" w:type="dxa"/>
          </w:tcPr>
          <w:p w14:paraId="67BF60B8" w14:textId="5CE1F40F" w:rsidR="00F22098" w:rsidRDefault="00C3726D" w:rsidP="00F22098">
            <w:r>
              <w:fldChar w:fldCharType="begin" w:fldLock="1"/>
            </w:r>
            <w:r w:rsidR="00AB5C03">
              <w:instrText>ADDIN CSL_CITATION {"citationItems":[{"id":"ITEM-1","itemData":{"DOI":"10.1016/j.prosdent.2006.09.006","ISSN":"00223913","PMID":"16479763","abstract":"PURPOSE The aims of this report are to present the patient-based outcomes and associated clinical costs of an immediate loading protocol for mandibular overdentures in edentulous patients. MATERIALS AND METHODS Two groups of patients were selected. Thirty-five consecutively treated patients received an immediate protocol, while 42 patients treated with a conventional protocol served as a historical control. Patient-based concerns for patients in the immediate group were measured at various stages of treatment with 2 questionnaires: the Denture Satisfaction Scale and the Oral Health Impact Profile. Direct clinical and time costs over a 1-year period were estimated and deflated to 2002 Canadian dollars. Salary rates by occupation, age, and gender were used to evaluate the patients' time costs. Treatment costs were compared between the 2 groups. Additionally, incremental cost-effectiveness ratios for various stages with the immediate protocol were calculated. RESULTS Significant improvements posttreatment were observed with both the Denture Satisfaction Scale (Wilcoxon signed rank test, P &lt; .05) and the Oral Health Impact Profile (Friedman test, P &lt; .05). The immediate protocol was associated with higher maintenance costs, with resultant higher total costs (Mann-Whitney U test, P &lt; .05). No difference was observed in the time costs associated with the 2 protocols. Within-group analysis of costs at various stages of the immediate protocol suggested that treatment with implant-supported overdentures was more cost-effective than treatment with conventional dentures. CONCLUSIONS This study suggests that implants in 1 jawbone lead to a substantial improvement in perceived oral health status. Furthermore, the immediate loading protocol was not cheaper than a conventional protocol.","author":[{"dropping-particle":"","family":"Attard","given":"N.J.","non-dropping-particle":"","parse-names":false,"suffix":""},{"dropping-particle":"","family":"Laporte","given":"A.","non-dropping-particle":"","parse-names":false,"suffix":""},{"dropping-particle":"","family":"Locker","given":"D.","non-dropping-particle":"","parse-names":false,"suffix":""},{"dropping-particle":"","family":"Zarb","given":"G.A.","non-dropping-particle":"","parse-names":false,"suffix":""}],"container-title":"The Journal of Prosthetic Dentistry","id":"ITEM-1","issue":"4","issued":{"date-parts":[["2007","4"]]},"page":"247","publisher":"Elsevier BV","title":"A prospective study on immediate loading of implants with mandibular overdentures: patient-mediated and economic outcomes","type":"article-journal","volume":"97"},"uris":["http://www.mendeley.com/documents/?uuid=7d4c2b86-d5ba-3e55-90d6-a5e38adb8230"]}],"mendeley":{"formattedCitation":"(Attard et al., 2007)","manualFormatting":"Attard et al., (2007)","plainTextFormattedCitation":"(Attard et al., 2007)","previouslyFormattedCitation":"(Attard et al., 2007)"},"properties":{"noteIndex":0},"schema":"https://github.com/citation-style-language/schema/raw/master/csl-citation.json"}</w:instrText>
            </w:r>
            <w:r>
              <w:fldChar w:fldCharType="separate"/>
            </w:r>
            <w:r w:rsidRPr="00C3726D">
              <w:rPr>
                <w:noProof/>
              </w:rPr>
              <w:t xml:space="preserve">Attard et al., </w:t>
            </w:r>
            <w:r w:rsidR="00AB5C03">
              <w:rPr>
                <w:noProof/>
              </w:rPr>
              <w:t>(</w:t>
            </w:r>
            <w:r w:rsidRPr="00C3726D">
              <w:rPr>
                <w:noProof/>
              </w:rPr>
              <w:t>2007)</w:t>
            </w:r>
            <w:r>
              <w:fldChar w:fldCharType="end"/>
            </w:r>
          </w:p>
        </w:tc>
        <w:tc>
          <w:tcPr>
            <w:tcW w:w="3969" w:type="dxa"/>
          </w:tcPr>
          <w:p w14:paraId="33EE51EE" w14:textId="71328352" w:rsidR="00F22098" w:rsidRDefault="00F22098" w:rsidP="00F22098">
            <w:r>
              <w:t>Numerical values for boxplots</w:t>
            </w:r>
          </w:p>
        </w:tc>
        <w:tc>
          <w:tcPr>
            <w:tcW w:w="2398" w:type="dxa"/>
          </w:tcPr>
          <w:p w14:paraId="58C9DE31" w14:textId="24C0BAEE" w:rsidR="00F22098" w:rsidRDefault="00F22098" w:rsidP="00F22098">
            <w:r>
              <w:t>No</w:t>
            </w:r>
          </w:p>
        </w:tc>
      </w:tr>
      <w:tr w:rsidR="00F22098" w14:paraId="4EFE4026" w14:textId="77777777" w:rsidTr="00AB5C03">
        <w:tc>
          <w:tcPr>
            <w:tcW w:w="2689" w:type="dxa"/>
          </w:tcPr>
          <w:p w14:paraId="54D86136" w14:textId="38F2D420" w:rsidR="00F22098" w:rsidRDefault="00C3726D" w:rsidP="00F22098">
            <w:r>
              <w:fldChar w:fldCharType="begin" w:fldLock="1"/>
            </w:r>
            <w:r w:rsidR="00AB5C03">
              <w:instrText>ADDIN CSL_CITATION {"citationItems":[{"id":"ITEM-1","itemData":{"ISSN":"0893-2174","PMID":"19639074","abstract":"PURPOSE The aim of this report is to present the clinical and patient-based outcomes of an immediate-loading protocol of TiUnite implants with mandibular overdentures in edentulous patients 5 years following initial placement. MATERIALS AND METHODS The study comprised two groups of edentulous patients. In the experimental group, 35 consecutively treated patients received 70 TiUnite implants that were loaded immediately, as well as 69 Branemark machined implants as a backup treatment. One patient received one Branemark implant. The control group comprised patients who were treated previously with conventional two-stage implant procedures, but were all case matched to the intervention group and served as a historical cohort. This group included 42 patients who received 111 Branemark implants. Both groups of patients were treated with overdentures that were supported with a standardized resilient bar mechanism. Clinical and patient-based outcomes in the immediate group were recorded for the first 5 years following the initial placement of implants and were measured at various stages of treatment using two questionnaires: the Denture Satisfaction Scale and the Oral Health Impact Profile (OHIP-20). RESULTS Just over 98% of implants were found to be successful in both groups (Fisher exact test: P = 1.000). A statistically significant improvement in patients' total, mandibular, and functional satisfaction scores was found when comparing baseline data to the data obtained 5 years following loading in the experimental group (P &lt; .001). There were no significant differences between the 1- and 5-year total, mandibular, and functional satisfaction scores, or between baseline and 5-year maxillary denture satisfaction scores. A statistically significant and positive correlation was found between baseline and 1-year maxillary satisfaction scores (P = .002). Any improvement in the patients' quality of life (QoL) was maintained during the first 5 years of loading. CONCLUSION The results of this longitudinal study suggest that immediate loading of two dental implants by means of bar-retained mandibular overdentures is a predictable treatment option and leads to substantial improvement in patients' satisfaction and QoL. Importantly, this mirrors the outcomes found for patients subjected to the more commonly accepted two-stage implant procedure.","author":[{"dropping-particle":"","family":"Alfadda","given":"Sara A","non-dropping-particle":"","parse-names":false,"suffix":""},{"dropping-particle":"","family":"Attard","given":"Nikolai J","non-dropping-particle":"","parse-names":false,"suffix":""},{"dropping-particle":"","family":"David","given":"Lesley A","non-dropping-particle":"","parse-names":false,"suffix":""}],"container-title":"The International journal of prosthodontics","id":"ITEM-1","issue":"4","issued":{"date-parts":[["2009"]]},"page":"368-73","title":"Five-year clinical results of immediately loaded dental implants using mandibular overdentures.","type":"article-journal","volume":"22"},"uris":["http://www.mendeley.com/documents/?uuid=21495513-73c9-33a9-92e6-d11ace36cbb8"]}],"mendeley":{"formattedCitation":"(Alfadda et al., 2009)","manualFormatting":"Alfadda et al., (2009)","plainTextFormattedCitation":"(Alfadda et al., 2009)","previouslyFormattedCitation":"(Alfadda et al., 2009)"},"properties":{"noteIndex":0},"schema":"https://github.com/citation-style-language/schema/raw/master/csl-citation.json"}</w:instrText>
            </w:r>
            <w:r>
              <w:fldChar w:fldCharType="separate"/>
            </w:r>
            <w:r w:rsidRPr="00C3726D">
              <w:rPr>
                <w:noProof/>
              </w:rPr>
              <w:t xml:space="preserve">Alfadda et al., </w:t>
            </w:r>
            <w:r w:rsidR="00AB5C03">
              <w:rPr>
                <w:noProof/>
              </w:rPr>
              <w:t>(</w:t>
            </w:r>
            <w:r w:rsidRPr="00C3726D">
              <w:rPr>
                <w:noProof/>
              </w:rPr>
              <w:t>2009)</w:t>
            </w:r>
            <w:r>
              <w:fldChar w:fldCharType="end"/>
            </w:r>
          </w:p>
        </w:tc>
        <w:tc>
          <w:tcPr>
            <w:tcW w:w="3969" w:type="dxa"/>
          </w:tcPr>
          <w:p w14:paraId="0C163667" w14:textId="1B001463" w:rsidR="00F22098" w:rsidRDefault="00F22098" w:rsidP="00F22098">
            <w:r>
              <w:t>Numerical values for boxplots</w:t>
            </w:r>
          </w:p>
        </w:tc>
        <w:tc>
          <w:tcPr>
            <w:tcW w:w="2398" w:type="dxa"/>
          </w:tcPr>
          <w:p w14:paraId="4B31C278" w14:textId="39590846" w:rsidR="00F22098" w:rsidRDefault="00F22098" w:rsidP="00F22098">
            <w:r>
              <w:t>No</w:t>
            </w:r>
          </w:p>
        </w:tc>
      </w:tr>
      <w:tr w:rsidR="00F22098" w14:paraId="351D320B" w14:textId="77777777" w:rsidTr="00AB5C03">
        <w:tc>
          <w:tcPr>
            <w:tcW w:w="2689" w:type="dxa"/>
          </w:tcPr>
          <w:p w14:paraId="0AEFC162" w14:textId="11EF142E" w:rsidR="00F22098" w:rsidRDefault="00C3726D" w:rsidP="00F22098">
            <w:r>
              <w:fldChar w:fldCharType="begin" w:fldLock="1"/>
            </w:r>
            <w:r w:rsidR="00AB5C03">
              <w:instrText>ADDIN CSL_CITATION {"citationItems":[{"id":"ITEM-1","itemData":{"DOI":"10.1016/J.PROSDENT.2021.01.007","ISSN":"1097-6841","PMID":"33640091","abstract":"Statement of problem: Previous studies on single-implant mandibular overdentures have reported favorable results for clinical and patient-reported outcomes. However, information from longer term clinical studies is lacking. Purpose: The purpose of this clinical study was to assess clinical, radiographic, and patient-reported outcomes of edentulous individuals rehabilitated with single-implant mandibular overdentures after a 5-year follow-up. Material and methods: A prospective clinical study was performed including completely edentulous individuals who received new conventional complete dentures and then an external hexagon implant in the mandibular midline region, followed by the incorporation of a retention system (O-ring/ball attachment; Neodent). Data collection occurred at baseline and 3, 6, 12, 24, and 60 months after implant loading. Assessed outcomes included implant stability, peri-implant soft tissue condition, peri-implant marginal bone level, satisfaction with the prostheses, and oral health–related quality of life (OHRQoL). Clinical maintenance events were also recorded. Descriptive statistics, incidence rates, Wilcoxon Signed Ranks test, and Generalized Estimating Equation regression were used for data analysis (α=.05). Results: Thirty of 34 eligible participants attended the 5-year follow-up visit, mean ±standard deviation age was 68.1 ±7.8 years, and 70% were women. The overall implant survival rate was 88.9%. After 5 years, the OHRQoL showed statistically significant improvement for all evaluation periods compared with baseline (P&lt;.001). Regarding satisfaction with the mandibular denture, a significant increase was found between all evaluation periods compared with baseline in terms of comfort, stability, and ability to masticate (P&lt;.001). Implant stability significantly increased (P=.003), and a mean bone loss of 1.46 mm was observed compared with baseline measures. The most frequent maintenance event was replacement of the O-ring matrix (n=80). Twenty-one midline fractures of the overdenture occurred in 14 study participants. No significant changes in peri-implant soft tissue conditions were observed. Conclusions: A single-implant mandibular overdenture effectively maintained the positive effect of the intervention on oral health–related quality of life and patient satisfaction, stable peri-implant condition, and acceptable rates of prosthetic events.","author":[{"dropping-particle":"","family":"Coutinho","given":"Paula Cristina","non-dropping-particle":"","parse-names":false,"suffix":""},{"dropping-particle":"","family":"Nogueira","given":"Túlio Eduardo","non-dropping-particle":"","parse-names":false,"suffix":""},{"dropping-particle":"","family":"Leles","given":"Cláudio Rodrigues","non-dropping-particle":"","parse-names":false,"suffix":""}],"container-title":"The Journal of prosthetic dentistry","id":"ITEM-1","issued":{"date-parts":[["2021"]]},"publisher":"J Prosthet Dent","title":"Single-implant mandibular overdentures: Clinical, radiographic, and patient-reported outcomes after a 5-year follow-up","type":"article-journal"},"uris":["http://www.mendeley.com/documents/?uuid=2cbbcdb6-62a7-3541-a3d1-d21bac96b023"]}],"mendeley":{"formattedCitation":"(Coutinho et al., 2021)","manualFormatting":"Coutinho et al., (2021)","plainTextFormattedCitation":"(Coutinho et al., 2021)","previouslyFormattedCitation":"(Coutinho et al., 2021)"},"properties":{"noteIndex":0},"schema":"https://github.com/citation-style-language/schema/raw/master/csl-citation.json"}</w:instrText>
            </w:r>
            <w:r>
              <w:fldChar w:fldCharType="separate"/>
            </w:r>
            <w:r w:rsidRPr="00C3726D">
              <w:rPr>
                <w:noProof/>
              </w:rPr>
              <w:t xml:space="preserve">Coutinho et al., </w:t>
            </w:r>
            <w:r w:rsidR="00AB5C03">
              <w:rPr>
                <w:noProof/>
              </w:rPr>
              <w:t>(</w:t>
            </w:r>
            <w:r w:rsidRPr="00C3726D">
              <w:rPr>
                <w:noProof/>
              </w:rPr>
              <w:t>2021)</w:t>
            </w:r>
            <w:r>
              <w:fldChar w:fldCharType="end"/>
            </w:r>
          </w:p>
        </w:tc>
        <w:tc>
          <w:tcPr>
            <w:tcW w:w="3969" w:type="dxa"/>
          </w:tcPr>
          <w:p w14:paraId="2ADA7C55" w14:textId="2490D7D8" w:rsidR="00F22098" w:rsidRDefault="00F22098" w:rsidP="00F22098">
            <w:r>
              <w:t>Exact VAS values including standard deviations</w:t>
            </w:r>
          </w:p>
        </w:tc>
        <w:tc>
          <w:tcPr>
            <w:tcW w:w="2398" w:type="dxa"/>
          </w:tcPr>
          <w:p w14:paraId="1AE09768" w14:textId="6C9916FF" w:rsidR="00F22098" w:rsidRDefault="00F22098" w:rsidP="00F22098">
            <w:r>
              <w:t>Yes</w:t>
            </w:r>
          </w:p>
        </w:tc>
      </w:tr>
    </w:tbl>
    <w:p w14:paraId="5A38A0B4" w14:textId="05FD7F04" w:rsidR="00BE07DA" w:rsidRDefault="00BE07DA" w:rsidP="008E32C8"/>
    <w:p w14:paraId="68FE7DB7" w14:textId="0629B757" w:rsidR="00C3726D" w:rsidRDefault="00C3726D" w:rsidP="008E32C8"/>
    <w:p w14:paraId="0248F253" w14:textId="1BE5D479" w:rsidR="00AB5C03" w:rsidRPr="00AB5C03" w:rsidRDefault="00C3726D" w:rsidP="00AB5C03">
      <w:pPr>
        <w:widowControl w:val="0"/>
        <w:autoSpaceDE w:val="0"/>
        <w:autoSpaceDN w:val="0"/>
        <w:adjustRightInd w:val="0"/>
        <w:ind w:left="480" w:hanging="480"/>
        <w:rPr>
          <w:rFonts w:ascii="Calibri" w:hAnsi="Calibri" w:cs="Calibri"/>
          <w:noProof/>
        </w:rPr>
      </w:pPr>
      <w:r>
        <w:fldChar w:fldCharType="begin" w:fldLock="1"/>
      </w:r>
      <w:r>
        <w:instrText xml:space="preserve">ADDIN Mendeley Bibliography CSL_BIBLIOGRAPHY </w:instrText>
      </w:r>
      <w:r>
        <w:fldChar w:fldCharType="separate"/>
      </w:r>
      <w:r w:rsidR="00AB5C03" w:rsidRPr="00AB5C03">
        <w:rPr>
          <w:rFonts w:ascii="Calibri" w:hAnsi="Calibri" w:cs="Calibri"/>
          <w:noProof/>
        </w:rPr>
        <w:t xml:space="preserve">Alfadda, S. A., Attard, N. J., &amp; David, L. A. (2009). Five-year clinical results of immediately loaded dental implants using mandibular overdentures. </w:t>
      </w:r>
      <w:r w:rsidR="00AB5C03" w:rsidRPr="00AB5C03">
        <w:rPr>
          <w:rFonts w:ascii="Calibri" w:hAnsi="Calibri" w:cs="Calibri"/>
          <w:i/>
          <w:iCs/>
          <w:noProof/>
        </w:rPr>
        <w:t>The International Journal of Prosthodontics</w:t>
      </w:r>
      <w:r w:rsidR="00AB5C03" w:rsidRPr="00AB5C03">
        <w:rPr>
          <w:rFonts w:ascii="Calibri" w:hAnsi="Calibri" w:cs="Calibri"/>
          <w:noProof/>
        </w:rPr>
        <w:t xml:space="preserve">, </w:t>
      </w:r>
      <w:r w:rsidR="00AB5C03" w:rsidRPr="00AB5C03">
        <w:rPr>
          <w:rFonts w:ascii="Calibri" w:hAnsi="Calibri" w:cs="Calibri"/>
          <w:i/>
          <w:iCs/>
          <w:noProof/>
        </w:rPr>
        <w:t>22</w:t>
      </w:r>
      <w:r w:rsidR="00AB5C03" w:rsidRPr="00AB5C03">
        <w:rPr>
          <w:rFonts w:ascii="Calibri" w:hAnsi="Calibri" w:cs="Calibri"/>
          <w:noProof/>
        </w:rPr>
        <w:t xml:space="preserve">(4), 368–373. </w:t>
      </w:r>
    </w:p>
    <w:p w14:paraId="43850AB5"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Attard, N. J., Laporte, A., Locker, D., &amp; Zarb, G. A. (2007). A prospective study on immediate loading of implants with mandibular overdentures: patient-mediated and economic outcomes. </w:t>
      </w:r>
      <w:r w:rsidRPr="00AB5C03">
        <w:rPr>
          <w:rFonts w:ascii="Calibri" w:hAnsi="Calibri" w:cs="Calibri"/>
          <w:i/>
          <w:iCs/>
          <w:noProof/>
        </w:rPr>
        <w:t>The Journal of Prosthetic Dentistry</w:t>
      </w:r>
      <w:r w:rsidRPr="00AB5C03">
        <w:rPr>
          <w:rFonts w:ascii="Calibri" w:hAnsi="Calibri" w:cs="Calibri"/>
          <w:noProof/>
        </w:rPr>
        <w:t xml:space="preserve">, </w:t>
      </w:r>
      <w:r w:rsidRPr="00AB5C03">
        <w:rPr>
          <w:rFonts w:ascii="Calibri" w:hAnsi="Calibri" w:cs="Calibri"/>
          <w:i/>
          <w:iCs/>
          <w:noProof/>
        </w:rPr>
        <w:t>97</w:t>
      </w:r>
      <w:r w:rsidRPr="00AB5C03">
        <w:rPr>
          <w:rFonts w:ascii="Calibri" w:hAnsi="Calibri" w:cs="Calibri"/>
          <w:noProof/>
        </w:rPr>
        <w:t>(4), 247. https://doi.org/10.1016/j.prosdent.2006.09.006</w:t>
      </w:r>
    </w:p>
    <w:p w14:paraId="61F89034"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Coutinho, P. C., Nogueira, T. E., &amp; Leles, C. R. (2021). Single-implant mandibular overdentures: Clinical, radiographic, and patient-reported outcomes after a 5-year follow-up. </w:t>
      </w:r>
      <w:r w:rsidRPr="00AB5C03">
        <w:rPr>
          <w:rFonts w:ascii="Calibri" w:hAnsi="Calibri" w:cs="Calibri"/>
          <w:i/>
          <w:iCs/>
          <w:noProof/>
        </w:rPr>
        <w:t>The Journal of Prosthetic Dentistry</w:t>
      </w:r>
      <w:r w:rsidRPr="00AB5C03">
        <w:rPr>
          <w:rFonts w:ascii="Calibri" w:hAnsi="Calibri" w:cs="Calibri"/>
          <w:noProof/>
        </w:rPr>
        <w:t>. https://doi.org/10.1016/J.PROSDENT.2021.01.007</w:t>
      </w:r>
    </w:p>
    <w:p w14:paraId="17C1128E"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Kleis, W. K., Kämmerer, P. W., Hartmann, S., Al-Nawas, B., &amp; Wagner, W. (2010). A comparison of three different attachment systems for mandibular two-implant overdentures: one-year report. </w:t>
      </w:r>
      <w:r w:rsidRPr="00AB5C03">
        <w:rPr>
          <w:rFonts w:ascii="Calibri" w:hAnsi="Calibri" w:cs="Calibri"/>
          <w:i/>
          <w:iCs/>
          <w:noProof/>
        </w:rPr>
        <w:t>Clinical Implant Dentistry and Related Research</w:t>
      </w:r>
      <w:r w:rsidRPr="00AB5C03">
        <w:rPr>
          <w:rFonts w:ascii="Calibri" w:hAnsi="Calibri" w:cs="Calibri"/>
          <w:noProof/>
        </w:rPr>
        <w:t xml:space="preserve">, </w:t>
      </w:r>
      <w:r w:rsidRPr="00AB5C03">
        <w:rPr>
          <w:rFonts w:ascii="Calibri" w:hAnsi="Calibri" w:cs="Calibri"/>
          <w:i/>
          <w:iCs/>
          <w:noProof/>
        </w:rPr>
        <w:t>12</w:t>
      </w:r>
      <w:r w:rsidRPr="00AB5C03">
        <w:rPr>
          <w:rFonts w:ascii="Calibri" w:hAnsi="Calibri" w:cs="Calibri"/>
          <w:noProof/>
        </w:rPr>
        <w:t>(3), 209–218. https://doi.org/10.1111/J.1708-8208.2009.00154.X</w:t>
      </w:r>
    </w:p>
    <w:p w14:paraId="64F18822"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Matthys, C., Vervaeke, S., Besseler, J., Doornewaard, R., Dierens, M., &amp; De Bruyn, H. (2019). Five years follow-up of mandibular 2-implant overdentures on locator or ball abutments: Implant results, patient-related outcome, and prosthetic aftercare. </w:t>
      </w:r>
      <w:r w:rsidRPr="00AB5C03">
        <w:rPr>
          <w:rFonts w:ascii="Calibri" w:hAnsi="Calibri" w:cs="Calibri"/>
          <w:i/>
          <w:iCs/>
          <w:noProof/>
        </w:rPr>
        <w:t>Clinical Implant Dentistry and Related Research</w:t>
      </w:r>
      <w:r w:rsidRPr="00AB5C03">
        <w:rPr>
          <w:rFonts w:ascii="Calibri" w:hAnsi="Calibri" w:cs="Calibri"/>
          <w:noProof/>
        </w:rPr>
        <w:t xml:space="preserve">, </w:t>
      </w:r>
      <w:r w:rsidRPr="00AB5C03">
        <w:rPr>
          <w:rFonts w:ascii="Calibri" w:hAnsi="Calibri" w:cs="Calibri"/>
          <w:i/>
          <w:iCs/>
          <w:noProof/>
        </w:rPr>
        <w:t>21</w:t>
      </w:r>
      <w:r w:rsidRPr="00AB5C03">
        <w:rPr>
          <w:rFonts w:ascii="Calibri" w:hAnsi="Calibri" w:cs="Calibri"/>
          <w:noProof/>
        </w:rPr>
        <w:t>(5), 835–844. https://doi.org/10.1111/CID.12840</w:t>
      </w:r>
    </w:p>
    <w:p w14:paraId="2100632F"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Matthys, C., Vervaeke, S., Jacquet, W., &amp; De Bruyn, H. (2018). Impact of crestal bone resorption on quality of life and professional maintenance with conventional dentures or Locator-retained mandibular implant overdentures. </w:t>
      </w:r>
      <w:r w:rsidRPr="00AB5C03">
        <w:rPr>
          <w:rFonts w:ascii="Calibri" w:hAnsi="Calibri" w:cs="Calibri"/>
          <w:i/>
          <w:iCs/>
          <w:noProof/>
        </w:rPr>
        <w:t>The Journal of Prosthetic Dentistry</w:t>
      </w:r>
      <w:r w:rsidRPr="00AB5C03">
        <w:rPr>
          <w:rFonts w:ascii="Calibri" w:hAnsi="Calibri" w:cs="Calibri"/>
          <w:noProof/>
        </w:rPr>
        <w:t xml:space="preserve">, </w:t>
      </w:r>
      <w:r w:rsidRPr="00AB5C03">
        <w:rPr>
          <w:rFonts w:ascii="Calibri" w:hAnsi="Calibri" w:cs="Calibri"/>
          <w:i/>
          <w:iCs/>
          <w:noProof/>
        </w:rPr>
        <w:t>120</w:t>
      </w:r>
      <w:r w:rsidRPr="00AB5C03">
        <w:rPr>
          <w:rFonts w:ascii="Calibri" w:hAnsi="Calibri" w:cs="Calibri"/>
          <w:noProof/>
        </w:rPr>
        <w:t>(6), 886–894. https://doi.org/10.1016/J.PROSDENT.2017.11.028</w:t>
      </w:r>
    </w:p>
    <w:p w14:paraId="4A5943D3" w14:textId="77777777" w:rsidR="00AB5C03" w:rsidRDefault="00AB5C03" w:rsidP="00AB5C03">
      <w:pPr>
        <w:widowControl w:val="0"/>
        <w:autoSpaceDE w:val="0"/>
        <w:autoSpaceDN w:val="0"/>
        <w:adjustRightInd w:val="0"/>
        <w:ind w:left="480" w:hanging="480"/>
        <w:rPr>
          <w:rFonts w:ascii="Calibri" w:hAnsi="Calibri" w:cs="Calibri"/>
          <w:noProof/>
        </w:rPr>
      </w:pPr>
    </w:p>
    <w:p w14:paraId="26E9CBF5" w14:textId="5B14DC6E"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lastRenderedPageBreak/>
        <w:t xml:space="preserve">Oh, S. H., Kim, Y., Park, J. Y., Jung, Y. J., Kim, S. K., &amp; Park, S. Y. (2016). Comparison of fixed implant-supported prostheses, removable implant-supported prostheses, and complete dentures: patient satisfaction and oral health-related quality of life. </w:t>
      </w:r>
      <w:r w:rsidRPr="00AB5C03">
        <w:rPr>
          <w:rFonts w:ascii="Calibri" w:hAnsi="Calibri" w:cs="Calibri"/>
          <w:i/>
          <w:iCs/>
          <w:noProof/>
        </w:rPr>
        <w:t>Clinical Oral Implants Research</w:t>
      </w:r>
      <w:r w:rsidRPr="00AB5C03">
        <w:rPr>
          <w:rFonts w:ascii="Calibri" w:hAnsi="Calibri" w:cs="Calibri"/>
          <w:noProof/>
        </w:rPr>
        <w:t xml:space="preserve">, </w:t>
      </w:r>
      <w:r w:rsidRPr="00AB5C03">
        <w:rPr>
          <w:rFonts w:ascii="Calibri" w:hAnsi="Calibri" w:cs="Calibri"/>
          <w:i/>
          <w:iCs/>
          <w:noProof/>
        </w:rPr>
        <w:t>27</w:t>
      </w:r>
      <w:r w:rsidRPr="00AB5C03">
        <w:rPr>
          <w:rFonts w:ascii="Calibri" w:hAnsi="Calibri" w:cs="Calibri"/>
          <w:noProof/>
        </w:rPr>
        <w:t>(2), e31–e37. https://doi.org/10.1111/CLR.12514</w:t>
      </w:r>
    </w:p>
    <w:p w14:paraId="72422D39"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Omura, Y., Kanazawa, M., Sato, D., Kasugai, S., &amp; Minakuchi, S. (2016). Comparison of patient-reported outcomes between immediately and conventionally loaded mandibular two-implant overdentures: A preliminary study. </w:t>
      </w:r>
      <w:r w:rsidRPr="00AB5C03">
        <w:rPr>
          <w:rFonts w:ascii="Calibri" w:hAnsi="Calibri" w:cs="Calibri"/>
          <w:i/>
          <w:iCs/>
          <w:noProof/>
        </w:rPr>
        <w:t>Journal of Prosthodontic Research</w:t>
      </w:r>
      <w:r w:rsidRPr="00AB5C03">
        <w:rPr>
          <w:rFonts w:ascii="Calibri" w:hAnsi="Calibri" w:cs="Calibri"/>
          <w:noProof/>
        </w:rPr>
        <w:t xml:space="preserve">, </w:t>
      </w:r>
      <w:r w:rsidRPr="00AB5C03">
        <w:rPr>
          <w:rFonts w:ascii="Calibri" w:hAnsi="Calibri" w:cs="Calibri"/>
          <w:i/>
          <w:iCs/>
          <w:noProof/>
        </w:rPr>
        <w:t>60</w:t>
      </w:r>
      <w:r w:rsidRPr="00AB5C03">
        <w:rPr>
          <w:rFonts w:ascii="Calibri" w:hAnsi="Calibri" w:cs="Calibri"/>
          <w:noProof/>
        </w:rPr>
        <w:t>(3), 185–192. https://doi.org/10.1016/J.JPOR.2015.12.010</w:t>
      </w:r>
    </w:p>
    <w:p w14:paraId="6FCDDEE3"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Pan, Y. H., Lin, T. M., &amp; Liang, C. H. (2014). Comparison of patient’s satisfaction with implant-supported mandibular overdentures and complete dentures. </w:t>
      </w:r>
      <w:r w:rsidRPr="00AB5C03">
        <w:rPr>
          <w:rFonts w:ascii="Calibri" w:hAnsi="Calibri" w:cs="Calibri"/>
          <w:i/>
          <w:iCs/>
          <w:noProof/>
        </w:rPr>
        <w:t>Biomedical Journal</w:t>
      </w:r>
      <w:r w:rsidRPr="00AB5C03">
        <w:rPr>
          <w:rFonts w:ascii="Calibri" w:hAnsi="Calibri" w:cs="Calibri"/>
          <w:noProof/>
        </w:rPr>
        <w:t xml:space="preserve">, </w:t>
      </w:r>
      <w:r w:rsidRPr="00AB5C03">
        <w:rPr>
          <w:rFonts w:ascii="Calibri" w:hAnsi="Calibri" w:cs="Calibri"/>
          <w:i/>
          <w:iCs/>
          <w:noProof/>
        </w:rPr>
        <w:t>37</w:t>
      </w:r>
      <w:r w:rsidRPr="00AB5C03">
        <w:rPr>
          <w:rFonts w:ascii="Calibri" w:hAnsi="Calibri" w:cs="Calibri"/>
          <w:noProof/>
        </w:rPr>
        <w:t>(3), 156–162. https://doi.org/10.4103/2319-4170.131384</w:t>
      </w:r>
    </w:p>
    <w:p w14:paraId="47EC9BFB"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Park, J. H., Shin, S. W., &amp; Lee, J. Y. (2019). Bar versus ball attachments for maxillary four-implant retained overdentures: A randomized controlled trial. </w:t>
      </w:r>
      <w:r w:rsidRPr="00AB5C03">
        <w:rPr>
          <w:rFonts w:ascii="Calibri" w:hAnsi="Calibri" w:cs="Calibri"/>
          <w:i/>
          <w:iCs/>
          <w:noProof/>
        </w:rPr>
        <w:t>Clinical Oral Implants Research</w:t>
      </w:r>
      <w:r w:rsidRPr="00AB5C03">
        <w:rPr>
          <w:rFonts w:ascii="Calibri" w:hAnsi="Calibri" w:cs="Calibri"/>
          <w:noProof/>
        </w:rPr>
        <w:t xml:space="preserve">, </w:t>
      </w:r>
      <w:r w:rsidRPr="00AB5C03">
        <w:rPr>
          <w:rFonts w:ascii="Calibri" w:hAnsi="Calibri" w:cs="Calibri"/>
          <w:i/>
          <w:iCs/>
          <w:noProof/>
        </w:rPr>
        <w:t>30</w:t>
      </w:r>
      <w:r w:rsidRPr="00AB5C03">
        <w:rPr>
          <w:rFonts w:ascii="Calibri" w:hAnsi="Calibri" w:cs="Calibri"/>
          <w:noProof/>
        </w:rPr>
        <w:t>(11), 1076–1084. https://doi.org/10.1111/CLR.13521</w:t>
      </w:r>
    </w:p>
    <w:p w14:paraId="5B28CD37"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Reissmann, D. R., Enkling, N., Moazzin, R., Haueter, M., Worni, A., &amp; Schimmel, M. (2018). Long-term changes in oral health-related quality of life over a period of 5 years in patients treated with narrow diameter implants: A prospective clinical study. </w:t>
      </w:r>
      <w:r w:rsidRPr="00AB5C03">
        <w:rPr>
          <w:rFonts w:ascii="Calibri" w:hAnsi="Calibri" w:cs="Calibri"/>
          <w:i/>
          <w:iCs/>
          <w:noProof/>
        </w:rPr>
        <w:t>Journal of Dentistry</w:t>
      </w:r>
      <w:r w:rsidRPr="00AB5C03">
        <w:rPr>
          <w:rFonts w:ascii="Calibri" w:hAnsi="Calibri" w:cs="Calibri"/>
          <w:noProof/>
        </w:rPr>
        <w:t xml:space="preserve">, </w:t>
      </w:r>
      <w:r w:rsidRPr="00AB5C03">
        <w:rPr>
          <w:rFonts w:ascii="Calibri" w:hAnsi="Calibri" w:cs="Calibri"/>
          <w:i/>
          <w:iCs/>
          <w:noProof/>
        </w:rPr>
        <w:t>75</w:t>
      </w:r>
      <w:r w:rsidRPr="00AB5C03">
        <w:rPr>
          <w:rFonts w:ascii="Calibri" w:hAnsi="Calibri" w:cs="Calibri"/>
          <w:noProof/>
        </w:rPr>
        <w:t>(March), 84–90. https://doi.org/10.1016/j.jdent.2018.05.019</w:t>
      </w:r>
    </w:p>
    <w:p w14:paraId="47559970"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Šcepanovic, M., Calvo-Guirado, J. L., Markovic, A., Delgado-Ruiz, R., Todorovic, A., Milicic, B., &amp; Mišic, T. (2012). A 1-year prospective cohort study on mandibular overdentures retained by mini dental implants. </w:t>
      </w:r>
      <w:r w:rsidRPr="00AB5C03">
        <w:rPr>
          <w:rFonts w:ascii="Calibri" w:hAnsi="Calibri" w:cs="Calibri"/>
          <w:i/>
          <w:iCs/>
          <w:noProof/>
        </w:rPr>
        <w:t>European Journal of Oral Implantology</w:t>
      </w:r>
      <w:r w:rsidRPr="00AB5C03">
        <w:rPr>
          <w:rFonts w:ascii="Calibri" w:hAnsi="Calibri" w:cs="Calibri"/>
          <w:noProof/>
        </w:rPr>
        <w:t xml:space="preserve">, </w:t>
      </w:r>
      <w:r w:rsidRPr="00AB5C03">
        <w:rPr>
          <w:rFonts w:ascii="Calibri" w:hAnsi="Calibri" w:cs="Calibri"/>
          <w:i/>
          <w:iCs/>
          <w:noProof/>
        </w:rPr>
        <w:t>5</w:t>
      </w:r>
      <w:r w:rsidRPr="00AB5C03">
        <w:rPr>
          <w:rFonts w:ascii="Calibri" w:hAnsi="Calibri" w:cs="Calibri"/>
          <w:noProof/>
        </w:rPr>
        <w:t>(4), 367–379.</w:t>
      </w:r>
    </w:p>
    <w:p w14:paraId="39EC2B17"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Schuster, A., Pastorino, D., Marcello-Machado, R., &amp; Faot, F. (2019). Influence of Age and Time Since Edentulism on Masticatory Function and Quality of Life in Implant-Retained Mandibular Overdenture Wearers: 1-year Results from a Paired Clinical Study. </w:t>
      </w:r>
      <w:r w:rsidRPr="00AB5C03">
        <w:rPr>
          <w:rFonts w:ascii="Calibri" w:hAnsi="Calibri" w:cs="Calibri"/>
          <w:i/>
          <w:iCs/>
          <w:noProof/>
        </w:rPr>
        <w:t>The International Journal of Oral &amp; Maxillofacial Implants</w:t>
      </w:r>
      <w:r w:rsidRPr="00AB5C03">
        <w:rPr>
          <w:rFonts w:ascii="Calibri" w:hAnsi="Calibri" w:cs="Calibri"/>
          <w:noProof/>
        </w:rPr>
        <w:t xml:space="preserve">, </w:t>
      </w:r>
      <w:r w:rsidRPr="00AB5C03">
        <w:rPr>
          <w:rFonts w:ascii="Calibri" w:hAnsi="Calibri" w:cs="Calibri"/>
          <w:i/>
          <w:iCs/>
          <w:noProof/>
        </w:rPr>
        <w:t>34</w:t>
      </w:r>
      <w:r w:rsidRPr="00AB5C03">
        <w:rPr>
          <w:rFonts w:ascii="Calibri" w:hAnsi="Calibri" w:cs="Calibri"/>
          <w:noProof/>
        </w:rPr>
        <w:t>(6), 1466–1474. https://doi.org/10.11607/JOMI.7525</w:t>
      </w:r>
    </w:p>
    <w:p w14:paraId="343DDD2F"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Walton, J. N., Glick, N., &amp; Macentee, M. I. (2009). A randomized clinical trial comparing patient satisfaction and prosthetic outcomes with mandibular overdentures retained by one or two implants. </w:t>
      </w:r>
      <w:r w:rsidRPr="00AB5C03">
        <w:rPr>
          <w:rFonts w:ascii="Calibri" w:hAnsi="Calibri" w:cs="Calibri"/>
          <w:i/>
          <w:iCs/>
          <w:noProof/>
        </w:rPr>
        <w:t>International Journal of Prosthodontics</w:t>
      </w:r>
      <w:r w:rsidRPr="00AB5C03">
        <w:rPr>
          <w:rFonts w:ascii="Calibri" w:hAnsi="Calibri" w:cs="Calibri"/>
          <w:noProof/>
        </w:rPr>
        <w:t xml:space="preserve">, </w:t>
      </w:r>
      <w:r w:rsidRPr="00AB5C03">
        <w:rPr>
          <w:rFonts w:ascii="Calibri" w:hAnsi="Calibri" w:cs="Calibri"/>
          <w:i/>
          <w:iCs/>
          <w:noProof/>
        </w:rPr>
        <w:t>22</w:t>
      </w:r>
      <w:r w:rsidRPr="00AB5C03">
        <w:rPr>
          <w:rFonts w:ascii="Calibri" w:hAnsi="Calibri" w:cs="Calibri"/>
          <w:noProof/>
        </w:rPr>
        <w:t>(4), 331–339.</w:t>
      </w:r>
    </w:p>
    <w:p w14:paraId="445B2705" w14:textId="77777777" w:rsidR="00AB5C03" w:rsidRPr="00AB5C03" w:rsidRDefault="00AB5C03" w:rsidP="00AB5C03">
      <w:pPr>
        <w:widowControl w:val="0"/>
        <w:autoSpaceDE w:val="0"/>
        <w:autoSpaceDN w:val="0"/>
        <w:adjustRightInd w:val="0"/>
        <w:ind w:left="480" w:hanging="480"/>
        <w:rPr>
          <w:rFonts w:ascii="Calibri" w:hAnsi="Calibri" w:cs="Calibri"/>
          <w:noProof/>
        </w:rPr>
      </w:pPr>
      <w:r w:rsidRPr="00AB5C03">
        <w:rPr>
          <w:rFonts w:ascii="Calibri" w:hAnsi="Calibri" w:cs="Calibri"/>
          <w:noProof/>
        </w:rPr>
        <w:t xml:space="preserve">Yunus, N., Masood, M., Saub, R., Al-Hashedi, A. A., Taiyeb Ali, T. B., &amp; Thomason, J. M. (2016). Impact of mandibular implant prostheses on the oral health-related quality of life in partially and completely edentulous patients. </w:t>
      </w:r>
      <w:r w:rsidRPr="00AB5C03">
        <w:rPr>
          <w:rFonts w:ascii="Calibri" w:hAnsi="Calibri" w:cs="Calibri"/>
          <w:i/>
          <w:iCs/>
          <w:noProof/>
        </w:rPr>
        <w:t>Clinical Oral Implants Research</w:t>
      </w:r>
      <w:r w:rsidRPr="00AB5C03">
        <w:rPr>
          <w:rFonts w:ascii="Calibri" w:hAnsi="Calibri" w:cs="Calibri"/>
          <w:noProof/>
        </w:rPr>
        <w:t xml:space="preserve">, </w:t>
      </w:r>
      <w:r w:rsidRPr="00AB5C03">
        <w:rPr>
          <w:rFonts w:ascii="Calibri" w:hAnsi="Calibri" w:cs="Calibri"/>
          <w:i/>
          <w:iCs/>
          <w:noProof/>
        </w:rPr>
        <w:t>27</w:t>
      </w:r>
      <w:r w:rsidRPr="00AB5C03">
        <w:rPr>
          <w:rFonts w:ascii="Calibri" w:hAnsi="Calibri" w:cs="Calibri"/>
          <w:noProof/>
        </w:rPr>
        <w:t>(7), 904–909. https://doi.org/10.1111/CLR.12657</w:t>
      </w:r>
    </w:p>
    <w:p w14:paraId="096B40A0" w14:textId="77F4C793" w:rsidR="00C3726D" w:rsidRDefault="00C3726D" w:rsidP="00AB5C03">
      <w:pPr>
        <w:widowControl w:val="0"/>
        <w:autoSpaceDE w:val="0"/>
        <w:autoSpaceDN w:val="0"/>
        <w:adjustRightInd w:val="0"/>
        <w:ind w:left="480" w:hanging="480"/>
      </w:pPr>
      <w:r>
        <w:fldChar w:fldCharType="end"/>
      </w:r>
    </w:p>
    <w:sectPr w:rsidR="00C3726D" w:rsidSect="00EB261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2C8"/>
    <w:rsid w:val="000051DC"/>
    <w:rsid w:val="0001155C"/>
    <w:rsid w:val="00014745"/>
    <w:rsid w:val="00027B45"/>
    <w:rsid w:val="000311BD"/>
    <w:rsid w:val="00031F58"/>
    <w:rsid w:val="00033E59"/>
    <w:rsid w:val="0003575D"/>
    <w:rsid w:val="000375BB"/>
    <w:rsid w:val="00044238"/>
    <w:rsid w:val="000600EB"/>
    <w:rsid w:val="00067D2B"/>
    <w:rsid w:val="000770C1"/>
    <w:rsid w:val="000871AC"/>
    <w:rsid w:val="000A6A6A"/>
    <w:rsid w:val="000B00E8"/>
    <w:rsid w:val="000B20EA"/>
    <w:rsid w:val="000B23FF"/>
    <w:rsid w:val="000B6A4B"/>
    <w:rsid w:val="000C22FE"/>
    <w:rsid w:val="000C7498"/>
    <w:rsid w:val="000D2ED6"/>
    <w:rsid w:val="000D5AA7"/>
    <w:rsid w:val="000E12DE"/>
    <w:rsid w:val="000E5B25"/>
    <w:rsid w:val="00101F55"/>
    <w:rsid w:val="00103E0B"/>
    <w:rsid w:val="00104871"/>
    <w:rsid w:val="0011252C"/>
    <w:rsid w:val="00112ACA"/>
    <w:rsid w:val="00113AC6"/>
    <w:rsid w:val="00113F52"/>
    <w:rsid w:val="00122CCB"/>
    <w:rsid w:val="00130555"/>
    <w:rsid w:val="00145CEC"/>
    <w:rsid w:val="001558E2"/>
    <w:rsid w:val="00164D84"/>
    <w:rsid w:val="001844A4"/>
    <w:rsid w:val="0018525D"/>
    <w:rsid w:val="001868C6"/>
    <w:rsid w:val="0019251C"/>
    <w:rsid w:val="001D3F17"/>
    <w:rsid w:val="001E4C10"/>
    <w:rsid w:val="002028AF"/>
    <w:rsid w:val="0020409F"/>
    <w:rsid w:val="0020510E"/>
    <w:rsid w:val="002056CB"/>
    <w:rsid w:val="002151A1"/>
    <w:rsid w:val="0021791B"/>
    <w:rsid w:val="00222F91"/>
    <w:rsid w:val="00232978"/>
    <w:rsid w:val="002338AC"/>
    <w:rsid w:val="00234941"/>
    <w:rsid w:val="00236208"/>
    <w:rsid w:val="0023754F"/>
    <w:rsid w:val="00237AE7"/>
    <w:rsid w:val="00246AF2"/>
    <w:rsid w:val="00247508"/>
    <w:rsid w:val="002512C5"/>
    <w:rsid w:val="00254FB8"/>
    <w:rsid w:val="00262B9B"/>
    <w:rsid w:val="00271D67"/>
    <w:rsid w:val="002740AA"/>
    <w:rsid w:val="002776AB"/>
    <w:rsid w:val="00277758"/>
    <w:rsid w:val="00282487"/>
    <w:rsid w:val="00292635"/>
    <w:rsid w:val="00293B8B"/>
    <w:rsid w:val="002B1396"/>
    <w:rsid w:val="002C4321"/>
    <w:rsid w:val="002E5433"/>
    <w:rsid w:val="002F55CC"/>
    <w:rsid w:val="002F65AC"/>
    <w:rsid w:val="002F7AE9"/>
    <w:rsid w:val="003011A1"/>
    <w:rsid w:val="00302B94"/>
    <w:rsid w:val="003113AE"/>
    <w:rsid w:val="003215A3"/>
    <w:rsid w:val="003421AB"/>
    <w:rsid w:val="00350C7F"/>
    <w:rsid w:val="00351D25"/>
    <w:rsid w:val="00371AB0"/>
    <w:rsid w:val="003731E6"/>
    <w:rsid w:val="0037596A"/>
    <w:rsid w:val="00385175"/>
    <w:rsid w:val="0038750A"/>
    <w:rsid w:val="0039153D"/>
    <w:rsid w:val="003A5984"/>
    <w:rsid w:val="003C6A3C"/>
    <w:rsid w:val="003D0E4A"/>
    <w:rsid w:val="003E06F9"/>
    <w:rsid w:val="003E7575"/>
    <w:rsid w:val="003F6BE0"/>
    <w:rsid w:val="00404656"/>
    <w:rsid w:val="0041279C"/>
    <w:rsid w:val="004222C0"/>
    <w:rsid w:val="00424441"/>
    <w:rsid w:val="004271C7"/>
    <w:rsid w:val="00432C47"/>
    <w:rsid w:val="004412E9"/>
    <w:rsid w:val="00442C6E"/>
    <w:rsid w:val="0044699A"/>
    <w:rsid w:val="00456BCA"/>
    <w:rsid w:val="00460A54"/>
    <w:rsid w:val="00461B8D"/>
    <w:rsid w:val="0047135C"/>
    <w:rsid w:val="0047433F"/>
    <w:rsid w:val="004918FC"/>
    <w:rsid w:val="00495630"/>
    <w:rsid w:val="004971A1"/>
    <w:rsid w:val="004A67EF"/>
    <w:rsid w:val="004E1911"/>
    <w:rsid w:val="004E2325"/>
    <w:rsid w:val="004E738E"/>
    <w:rsid w:val="004F4AD8"/>
    <w:rsid w:val="005036F5"/>
    <w:rsid w:val="005057D7"/>
    <w:rsid w:val="00507D38"/>
    <w:rsid w:val="00511BAC"/>
    <w:rsid w:val="00543878"/>
    <w:rsid w:val="005449EB"/>
    <w:rsid w:val="00547229"/>
    <w:rsid w:val="005518A8"/>
    <w:rsid w:val="00555093"/>
    <w:rsid w:val="005624E7"/>
    <w:rsid w:val="0057311C"/>
    <w:rsid w:val="00575033"/>
    <w:rsid w:val="00575961"/>
    <w:rsid w:val="00576677"/>
    <w:rsid w:val="00583F65"/>
    <w:rsid w:val="00590EF5"/>
    <w:rsid w:val="005A07CD"/>
    <w:rsid w:val="005B4D5D"/>
    <w:rsid w:val="005C05D9"/>
    <w:rsid w:val="005C2C51"/>
    <w:rsid w:val="005D2F5B"/>
    <w:rsid w:val="005E28AC"/>
    <w:rsid w:val="005F2146"/>
    <w:rsid w:val="005F48E1"/>
    <w:rsid w:val="005F545B"/>
    <w:rsid w:val="005F6D4C"/>
    <w:rsid w:val="005F778A"/>
    <w:rsid w:val="006124D0"/>
    <w:rsid w:val="006163AE"/>
    <w:rsid w:val="00617149"/>
    <w:rsid w:val="00620AB0"/>
    <w:rsid w:val="00641078"/>
    <w:rsid w:val="006471C2"/>
    <w:rsid w:val="00650CDC"/>
    <w:rsid w:val="006511AB"/>
    <w:rsid w:val="00656C8B"/>
    <w:rsid w:val="00663924"/>
    <w:rsid w:val="00664E63"/>
    <w:rsid w:val="00683E7E"/>
    <w:rsid w:val="00690989"/>
    <w:rsid w:val="00691838"/>
    <w:rsid w:val="00695778"/>
    <w:rsid w:val="006B1FF9"/>
    <w:rsid w:val="006C1CC0"/>
    <w:rsid w:val="006C472B"/>
    <w:rsid w:val="006D49B1"/>
    <w:rsid w:val="006E3C6E"/>
    <w:rsid w:val="006E6155"/>
    <w:rsid w:val="006F1671"/>
    <w:rsid w:val="006F5AD7"/>
    <w:rsid w:val="006F64A2"/>
    <w:rsid w:val="00704D54"/>
    <w:rsid w:val="00713371"/>
    <w:rsid w:val="007203DC"/>
    <w:rsid w:val="007263F5"/>
    <w:rsid w:val="00754736"/>
    <w:rsid w:val="0075584E"/>
    <w:rsid w:val="00757538"/>
    <w:rsid w:val="00762445"/>
    <w:rsid w:val="00765E54"/>
    <w:rsid w:val="007762FB"/>
    <w:rsid w:val="00785992"/>
    <w:rsid w:val="00786BDC"/>
    <w:rsid w:val="00787371"/>
    <w:rsid w:val="007900B0"/>
    <w:rsid w:val="00795439"/>
    <w:rsid w:val="007977C3"/>
    <w:rsid w:val="007B08AD"/>
    <w:rsid w:val="007B1E70"/>
    <w:rsid w:val="007B5E8B"/>
    <w:rsid w:val="007C24E9"/>
    <w:rsid w:val="007D28BA"/>
    <w:rsid w:val="007E521F"/>
    <w:rsid w:val="007F0131"/>
    <w:rsid w:val="00801407"/>
    <w:rsid w:val="00803740"/>
    <w:rsid w:val="008046BB"/>
    <w:rsid w:val="00810199"/>
    <w:rsid w:val="00810ECA"/>
    <w:rsid w:val="008136FA"/>
    <w:rsid w:val="00814389"/>
    <w:rsid w:val="00821E0F"/>
    <w:rsid w:val="0083087B"/>
    <w:rsid w:val="00831CC0"/>
    <w:rsid w:val="00834C07"/>
    <w:rsid w:val="008446A6"/>
    <w:rsid w:val="008633E1"/>
    <w:rsid w:val="00863F27"/>
    <w:rsid w:val="00870603"/>
    <w:rsid w:val="00892711"/>
    <w:rsid w:val="00895A9F"/>
    <w:rsid w:val="00896DAC"/>
    <w:rsid w:val="008A430F"/>
    <w:rsid w:val="008B04BF"/>
    <w:rsid w:val="008C0084"/>
    <w:rsid w:val="008C2442"/>
    <w:rsid w:val="008C560A"/>
    <w:rsid w:val="008D447A"/>
    <w:rsid w:val="008D5912"/>
    <w:rsid w:val="008D7341"/>
    <w:rsid w:val="008E18D3"/>
    <w:rsid w:val="008E32C8"/>
    <w:rsid w:val="008E4B35"/>
    <w:rsid w:val="008F26B9"/>
    <w:rsid w:val="008F6D54"/>
    <w:rsid w:val="00916D7C"/>
    <w:rsid w:val="009171D2"/>
    <w:rsid w:val="009229FF"/>
    <w:rsid w:val="00925DE7"/>
    <w:rsid w:val="009508B5"/>
    <w:rsid w:val="0096451E"/>
    <w:rsid w:val="00965F5E"/>
    <w:rsid w:val="009815CE"/>
    <w:rsid w:val="009A3966"/>
    <w:rsid w:val="009C3108"/>
    <w:rsid w:val="009C5335"/>
    <w:rsid w:val="009E4DD3"/>
    <w:rsid w:val="00A019DC"/>
    <w:rsid w:val="00A04725"/>
    <w:rsid w:val="00A06AA9"/>
    <w:rsid w:val="00A06D9C"/>
    <w:rsid w:val="00A108B4"/>
    <w:rsid w:val="00A21A55"/>
    <w:rsid w:val="00A41475"/>
    <w:rsid w:val="00A41638"/>
    <w:rsid w:val="00A447C3"/>
    <w:rsid w:val="00A4717B"/>
    <w:rsid w:val="00A553CE"/>
    <w:rsid w:val="00A60861"/>
    <w:rsid w:val="00A61821"/>
    <w:rsid w:val="00A628E3"/>
    <w:rsid w:val="00A65272"/>
    <w:rsid w:val="00A66710"/>
    <w:rsid w:val="00A70682"/>
    <w:rsid w:val="00A73020"/>
    <w:rsid w:val="00A80108"/>
    <w:rsid w:val="00A807F9"/>
    <w:rsid w:val="00A8399A"/>
    <w:rsid w:val="00A95E0D"/>
    <w:rsid w:val="00AB1402"/>
    <w:rsid w:val="00AB443C"/>
    <w:rsid w:val="00AB48B1"/>
    <w:rsid w:val="00AB5C03"/>
    <w:rsid w:val="00AB727E"/>
    <w:rsid w:val="00AD0FDF"/>
    <w:rsid w:val="00AE685A"/>
    <w:rsid w:val="00AF414E"/>
    <w:rsid w:val="00AF644E"/>
    <w:rsid w:val="00AF6E43"/>
    <w:rsid w:val="00B01227"/>
    <w:rsid w:val="00B10A4D"/>
    <w:rsid w:val="00B113F4"/>
    <w:rsid w:val="00B11C8A"/>
    <w:rsid w:val="00B124BA"/>
    <w:rsid w:val="00B26062"/>
    <w:rsid w:val="00B2671C"/>
    <w:rsid w:val="00B45ECF"/>
    <w:rsid w:val="00B54E18"/>
    <w:rsid w:val="00B63F27"/>
    <w:rsid w:val="00B95460"/>
    <w:rsid w:val="00B96704"/>
    <w:rsid w:val="00BA3B35"/>
    <w:rsid w:val="00BA69E0"/>
    <w:rsid w:val="00BB3549"/>
    <w:rsid w:val="00BB5929"/>
    <w:rsid w:val="00BB79C9"/>
    <w:rsid w:val="00BC1D38"/>
    <w:rsid w:val="00BD710E"/>
    <w:rsid w:val="00BE07DA"/>
    <w:rsid w:val="00BE6EDD"/>
    <w:rsid w:val="00BF1FE2"/>
    <w:rsid w:val="00C019BF"/>
    <w:rsid w:val="00C03AD2"/>
    <w:rsid w:val="00C074DB"/>
    <w:rsid w:val="00C112A2"/>
    <w:rsid w:val="00C12B7C"/>
    <w:rsid w:val="00C365B1"/>
    <w:rsid w:val="00C3726D"/>
    <w:rsid w:val="00C37C5A"/>
    <w:rsid w:val="00C40F6E"/>
    <w:rsid w:val="00C41DD4"/>
    <w:rsid w:val="00C5338D"/>
    <w:rsid w:val="00C53D87"/>
    <w:rsid w:val="00C5793C"/>
    <w:rsid w:val="00C6168C"/>
    <w:rsid w:val="00C66D92"/>
    <w:rsid w:val="00C739BE"/>
    <w:rsid w:val="00C7597B"/>
    <w:rsid w:val="00C77253"/>
    <w:rsid w:val="00CB556F"/>
    <w:rsid w:val="00CC4125"/>
    <w:rsid w:val="00CC5E70"/>
    <w:rsid w:val="00CD223A"/>
    <w:rsid w:val="00CE1722"/>
    <w:rsid w:val="00CE6C77"/>
    <w:rsid w:val="00CF6C04"/>
    <w:rsid w:val="00D05455"/>
    <w:rsid w:val="00D1782A"/>
    <w:rsid w:val="00D20791"/>
    <w:rsid w:val="00D23D17"/>
    <w:rsid w:val="00D27D24"/>
    <w:rsid w:val="00D27E1D"/>
    <w:rsid w:val="00D30052"/>
    <w:rsid w:val="00D32F4C"/>
    <w:rsid w:val="00D45141"/>
    <w:rsid w:val="00D536C6"/>
    <w:rsid w:val="00D6375B"/>
    <w:rsid w:val="00D720F6"/>
    <w:rsid w:val="00D84C31"/>
    <w:rsid w:val="00D9156C"/>
    <w:rsid w:val="00D96159"/>
    <w:rsid w:val="00DA1337"/>
    <w:rsid w:val="00DA49BC"/>
    <w:rsid w:val="00DB0D19"/>
    <w:rsid w:val="00DB550D"/>
    <w:rsid w:val="00DB7607"/>
    <w:rsid w:val="00DC48FF"/>
    <w:rsid w:val="00DC4B32"/>
    <w:rsid w:val="00DD5B1B"/>
    <w:rsid w:val="00DE015E"/>
    <w:rsid w:val="00DE21C2"/>
    <w:rsid w:val="00DE6FBA"/>
    <w:rsid w:val="00DF35AE"/>
    <w:rsid w:val="00E10608"/>
    <w:rsid w:val="00E1485F"/>
    <w:rsid w:val="00E21B0A"/>
    <w:rsid w:val="00E3136E"/>
    <w:rsid w:val="00E46349"/>
    <w:rsid w:val="00E46B38"/>
    <w:rsid w:val="00E504D7"/>
    <w:rsid w:val="00E54426"/>
    <w:rsid w:val="00E60AF2"/>
    <w:rsid w:val="00E61006"/>
    <w:rsid w:val="00E61E5D"/>
    <w:rsid w:val="00E6360A"/>
    <w:rsid w:val="00E66868"/>
    <w:rsid w:val="00E74FDE"/>
    <w:rsid w:val="00E7574C"/>
    <w:rsid w:val="00E8219D"/>
    <w:rsid w:val="00E860FC"/>
    <w:rsid w:val="00E9420D"/>
    <w:rsid w:val="00E95D9F"/>
    <w:rsid w:val="00EA350B"/>
    <w:rsid w:val="00EB261C"/>
    <w:rsid w:val="00EC2578"/>
    <w:rsid w:val="00EC3942"/>
    <w:rsid w:val="00ED5BF8"/>
    <w:rsid w:val="00ED6063"/>
    <w:rsid w:val="00EE20F3"/>
    <w:rsid w:val="00EE5A25"/>
    <w:rsid w:val="00EF39D8"/>
    <w:rsid w:val="00EF45E2"/>
    <w:rsid w:val="00EF6F7C"/>
    <w:rsid w:val="00F0337D"/>
    <w:rsid w:val="00F03CB7"/>
    <w:rsid w:val="00F05A77"/>
    <w:rsid w:val="00F05EBD"/>
    <w:rsid w:val="00F10085"/>
    <w:rsid w:val="00F10E5B"/>
    <w:rsid w:val="00F22098"/>
    <w:rsid w:val="00F2319E"/>
    <w:rsid w:val="00F25B83"/>
    <w:rsid w:val="00F352BD"/>
    <w:rsid w:val="00F43CA0"/>
    <w:rsid w:val="00F55A74"/>
    <w:rsid w:val="00F65046"/>
    <w:rsid w:val="00F70D04"/>
    <w:rsid w:val="00F9468D"/>
    <w:rsid w:val="00F94E31"/>
    <w:rsid w:val="00FB3027"/>
    <w:rsid w:val="00FB44BA"/>
    <w:rsid w:val="00FB6B27"/>
    <w:rsid w:val="00FC4DE5"/>
    <w:rsid w:val="00FC658E"/>
    <w:rsid w:val="00FD7639"/>
    <w:rsid w:val="00FE2790"/>
    <w:rsid w:val="00FE43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8FEA5"/>
  <w15:chartTrackingRefBased/>
  <w15:docId w15:val="{6072B516-CE9A-014B-B63E-4062B9147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E3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2B462590-4F48-C24A-95EA-1E72E9BFD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7516</Words>
  <Characters>47355</Characters>
  <Application>Microsoft Office Word</Application>
  <DocSecurity>0</DocSecurity>
  <Lines>394</Lines>
  <Paragraphs>109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2023-02-20T13:38:00Z</dcterms:created>
  <dcterms:modified xsi:type="dcterms:W3CDTF">2023-02-20T14:48:00Z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306507aa-dee7-302d-928a-eaaba50bce69</vt:lpwstr>
  </property>
  <property fmtid="{D5CDD505-2E9C-101B-9397-08002B2CF9AE}" pid="4" name="Mendeley Citation Style_1">
    <vt:lpwstr>http://www.zotero.org/styles/apa</vt:lpwstr>
  </property>
  <property fmtid="{D5CDD505-2E9C-101B-9397-08002B2CF9AE}" pid="5" name="Mendeley Recent Style Id 0_1">
    <vt:lpwstr>http://www.zotero.org/styles/apa-6th-edition</vt:lpwstr>
  </property>
  <property fmtid="{D5CDD505-2E9C-101B-9397-08002B2CF9AE}" pid="6" name="Mendeley Recent Style Name 0_1">
    <vt:lpwstr>American Psychological Association 6th edition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http://www.zotero.org/styles/chicago-author-date</vt:lpwstr>
  </property>
  <property fmtid="{D5CDD505-2E9C-101B-9397-08002B2CF9AE}" pid="10" name="Mendeley Recent Style Name 2_1">
    <vt:lpwstr>Chicago Manual of Style 17th edition (author-date)</vt:lpwstr>
  </property>
  <property fmtid="{D5CDD505-2E9C-101B-9397-08002B2CF9AE}" pid="11" name="Mendeley Recent Style Id 3_1">
    <vt:lpwstr>http://www.zotero.org/styles/harvard-cite-them-right</vt:lpwstr>
  </property>
  <property fmtid="{D5CDD505-2E9C-101B-9397-08002B2CF9AE}" pid="12" name="Mendeley Recent Style Name 3_1">
    <vt:lpwstr>Cite Them Right 10th edition - Harvard</vt:lpwstr>
  </property>
  <property fmtid="{D5CDD505-2E9C-101B-9397-08002B2CF9AE}" pid="13" name="Mendeley Recent Style Id 4_1">
    <vt:lpwstr>http://www.zotero.org/styles/council-of-science-editors</vt:lpwstr>
  </property>
  <property fmtid="{D5CDD505-2E9C-101B-9397-08002B2CF9AE}" pid="14" name="Mendeley Recent Style Name 4_1">
    <vt:lpwstr>Council of Science Editors, Citation-Sequence (numeric)</vt:lpwstr>
  </property>
  <property fmtid="{D5CDD505-2E9C-101B-9397-08002B2CF9AE}" pid="15" name="Mendeley Recent Style Id 5_1">
    <vt:lpwstr>http://www.zotero.org/styles/dental-materials</vt:lpwstr>
  </property>
  <property fmtid="{D5CDD505-2E9C-101B-9397-08002B2CF9AE}" pid="16" name="Mendeley Recent Style Name 5_1">
    <vt:lpwstr>Dental Materials</vt:lpwstr>
  </property>
  <property fmtid="{D5CDD505-2E9C-101B-9397-08002B2CF9AE}" pid="17" name="Mendeley Recent Style Id 6_1">
    <vt:lpwstr>http://www.zotero.org/styles/journal-of-dentistry</vt:lpwstr>
  </property>
  <property fmtid="{D5CDD505-2E9C-101B-9397-08002B2CF9AE}" pid="18" name="Mendeley Recent Style Name 6_1">
    <vt:lpwstr>Journal of Dentistry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