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8E009A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6BB9D31C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52E4B7BB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b/>
          <w:sz w:val="32"/>
          <w:szCs w:val="32"/>
        </w:rPr>
      </w:pPr>
    </w:p>
    <w:p w14:paraId="2B6963C4" w14:textId="77777777" w:rsidR="00971C4E" w:rsidRDefault="00000000">
      <w:pPr>
        <w:spacing w:line="360" w:lineRule="auto"/>
        <w:jc w:val="center"/>
        <w:rPr>
          <w:rFonts w:ascii="Cambria" w:eastAsia="Cambria" w:hAnsi="Cambria" w:cs="Cambria"/>
          <w:sz w:val="26"/>
          <w:szCs w:val="26"/>
        </w:rPr>
      </w:pPr>
      <w:r>
        <w:rPr>
          <w:rFonts w:ascii="Cambria" w:eastAsia="Cambria" w:hAnsi="Cambria" w:cs="Cambria"/>
          <w:b/>
          <w:sz w:val="34"/>
          <w:szCs w:val="34"/>
        </w:rPr>
        <w:t>The impact of the cardiovascular component and somatic mutation on ageing</w:t>
      </w:r>
      <w:r>
        <w:rPr>
          <w:rFonts w:ascii="Cambria" w:eastAsia="Cambria" w:hAnsi="Cambria" w:cs="Cambria"/>
          <w:b/>
          <w:sz w:val="28"/>
          <w:szCs w:val="28"/>
        </w:rPr>
        <w:br/>
      </w:r>
      <w:r>
        <w:rPr>
          <w:rFonts w:ascii="Cambria" w:eastAsia="Cambria" w:hAnsi="Cambria" w:cs="Cambria"/>
          <w:b/>
          <w:sz w:val="32"/>
          <w:szCs w:val="32"/>
        </w:rPr>
        <w:br/>
      </w:r>
      <w:r>
        <w:rPr>
          <w:rFonts w:ascii="Cambria" w:eastAsia="Cambria" w:hAnsi="Cambria" w:cs="Cambria"/>
          <w:sz w:val="26"/>
          <w:szCs w:val="26"/>
        </w:rPr>
        <w:t xml:space="preserve">Daniel </w:t>
      </w:r>
      <w:proofErr w:type="spellStart"/>
      <w:r>
        <w:rPr>
          <w:rFonts w:ascii="Cambria" w:eastAsia="Cambria" w:hAnsi="Cambria" w:cs="Cambria"/>
          <w:sz w:val="26"/>
          <w:szCs w:val="26"/>
        </w:rPr>
        <w:t>Garger</w:t>
      </w:r>
      <w:proofErr w:type="spellEnd"/>
      <w:r>
        <w:rPr>
          <w:rFonts w:ascii="Cambria" w:eastAsia="Cambria" w:hAnsi="Cambria" w:cs="Cambria"/>
          <w:sz w:val="26"/>
          <w:szCs w:val="26"/>
        </w:rPr>
        <w:t xml:space="preserve">, Martin </w:t>
      </w:r>
      <w:proofErr w:type="spellStart"/>
      <w:r>
        <w:rPr>
          <w:rFonts w:ascii="Cambria" w:eastAsia="Cambria" w:hAnsi="Cambria" w:cs="Cambria"/>
          <w:sz w:val="26"/>
          <w:szCs w:val="26"/>
        </w:rPr>
        <w:t>Meinel</w:t>
      </w:r>
      <w:proofErr w:type="spellEnd"/>
      <w:r>
        <w:rPr>
          <w:rFonts w:ascii="Cambria" w:eastAsia="Cambria" w:hAnsi="Cambria" w:cs="Cambria"/>
          <w:sz w:val="26"/>
          <w:szCs w:val="26"/>
        </w:rPr>
        <w:t xml:space="preserve">, </w:t>
      </w:r>
      <w:proofErr w:type="spellStart"/>
      <w:r>
        <w:rPr>
          <w:rFonts w:ascii="Cambria" w:eastAsia="Cambria" w:hAnsi="Cambria" w:cs="Cambria"/>
          <w:sz w:val="26"/>
          <w:szCs w:val="26"/>
        </w:rPr>
        <w:t>Tamina</w:t>
      </w:r>
      <w:proofErr w:type="spellEnd"/>
      <w:r>
        <w:rPr>
          <w:rFonts w:ascii="Cambria" w:eastAsia="Cambria" w:hAnsi="Cambria" w:cs="Cambria"/>
          <w:sz w:val="26"/>
          <w:szCs w:val="26"/>
        </w:rPr>
        <w:t xml:space="preserve"> </w:t>
      </w:r>
      <w:proofErr w:type="spellStart"/>
      <w:r>
        <w:rPr>
          <w:rFonts w:ascii="Cambria" w:eastAsia="Cambria" w:hAnsi="Cambria" w:cs="Cambria"/>
          <w:sz w:val="26"/>
          <w:szCs w:val="26"/>
        </w:rPr>
        <w:t>Dietl</w:t>
      </w:r>
      <w:proofErr w:type="spellEnd"/>
      <w:r>
        <w:rPr>
          <w:rFonts w:ascii="Cambria" w:eastAsia="Cambria" w:hAnsi="Cambria" w:cs="Cambria"/>
          <w:sz w:val="26"/>
          <w:szCs w:val="26"/>
        </w:rPr>
        <w:t xml:space="preserve">, Christina </w:t>
      </w:r>
      <w:proofErr w:type="spellStart"/>
      <w:r>
        <w:rPr>
          <w:rFonts w:ascii="Cambria" w:eastAsia="Cambria" w:hAnsi="Cambria" w:cs="Cambria"/>
          <w:sz w:val="26"/>
          <w:szCs w:val="26"/>
        </w:rPr>
        <w:t>Hillig</w:t>
      </w:r>
      <w:proofErr w:type="spellEnd"/>
      <w:r>
        <w:rPr>
          <w:rFonts w:ascii="Cambria" w:eastAsia="Cambria" w:hAnsi="Cambria" w:cs="Cambria"/>
          <w:sz w:val="26"/>
          <w:szCs w:val="26"/>
        </w:rPr>
        <w:t xml:space="preserve">, Natalie </w:t>
      </w:r>
      <w:proofErr w:type="spellStart"/>
      <w:r>
        <w:rPr>
          <w:rFonts w:ascii="Cambria" w:eastAsia="Cambria" w:hAnsi="Cambria" w:cs="Cambria"/>
          <w:sz w:val="26"/>
          <w:szCs w:val="26"/>
        </w:rPr>
        <w:t>Garzorz</w:t>
      </w:r>
      <w:proofErr w:type="spellEnd"/>
      <w:r>
        <w:rPr>
          <w:rFonts w:ascii="Cambria" w:eastAsia="Cambria" w:hAnsi="Cambria" w:cs="Cambria"/>
          <w:sz w:val="26"/>
          <w:szCs w:val="26"/>
        </w:rPr>
        <w:t xml:space="preserve">-Stark, Kilian </w:t>
      </w:r>
      <w:proofErr w:type="spellStart"/>
      <w:r>
        <w:rPr>
          <w:rFonts w:ascii="Cambria" w:eastAsia="Cambria" w:hAnsi="Cambria" w:cs="Cambria"/>
          <w:sz w:val="26"/>
          <w:szCs w:val="26"/>
        </w:rPr>
        <w:t>Eyerich</w:t>
      </w:r>
      <w:proofErr w:type="spellEnd"/>
      <w:r>
        <w:rPr>
          <w:rFonts w:ascii="Cambria" w:eastAsia="Cambria" w:hAnsi="Cambria" w:cs="Cambria"/>
          <w:sz w:val="26"/>
          <w:szCs w:val="26"/>
        </w:rPr>
        <w:t xml:space="preserve">, Martin </w:t>
      </w:r>
      <w:proofErr w:type="spellStart"/>
      <w:r>
        <w:rPr>
          <w:rFonts w:ascii="Cambria" w:eastAsia="Cambria" w:hAnsi="Cambria" w:cs="Cambria"/>
          <w:sz w:val="26"/>
          <w:szCs w:val="26"/>
        </w:rPr>
        <w:t>Hrabě</w:t>
      </w:r>
      <w:proofErr w:type="spellEnd"/>
      <w:r>
        <w:rPr>
          <w:rFonts w:ascii="Cambria" w:eastAsia="Cambria" w:hAnsi="Cambria" w:cs="Cambria"/>
          <w:sz w:val="26"/>
          <w:szCs w:val="26"/>
        </w:rPr>
        <w:t xml:space="preserve"> de Angelis, Stefanie </w:t>
      </w:r>
      <w:proofErr w:type="spellStart"/>
      <w:r>
        <w:rPr>
          <w:rFonts w:ascii="Cambria" w:eastAsia="Cambria" w:hAnsi="Cambria" w:cs="Cambria"/>
          <w:sz w:val="26"/>
          <w:szCs w:val="26"/>
        </w:rPr>
        <w:t>Eyerich</w:t>
      </w:r>
      <w:proofErr w:type="spellEnd"/>
      <w:r>
        <w:rPr>
          <w:rFonts w:ascii="Cambria" w:eastAsia="Cambria" w:hAnsi="Cambria" w:cs="Cambria"/>
          <w:sz w:val="26"/>
          <w:szCs w:val="26"/>
        </w:rPr>
        <w:t>, Michael P. Menden.</w:t>
      </w:r>
    </w:p>
    <w:p w14:paraId="05252016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7C4CA336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231E49CD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5C0208A0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5511C315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2575D81E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34F0C86C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1445A2B1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4E7F1067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7BA530C8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0B4D620B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32B6FD5D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3122A98F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19CFA573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4E0ADFBA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1235D032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3580B7AD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26133374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49A9A72E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0C7F78D7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114B7D84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181AE747" w14:textId="77777777" w:rsidR="00971C4E" w:rsidRDefault="00971C4E">
      <w:pPr>
        <w:spacing w:line="360" w:lineRule="auto"/>
        <w:jc w:val="center"/>
        <w:rPr>
          <w:rFonts w:ascii="Cambria" w:eastAsia="Cambria" w:hAnsi="Cambria" w:cs="Cambria"/>
          <w:sz w:val="24"/>
          <w:szCs w:val="24"/>
        </w:rPr>
      </w:pPr>
    </w:p>
    <w:p w14:paraId="5B275CB8" w14:textId="77777777" w:rsidR="00971C4E" w:rsidRDefault="00971C4E">
      <w:pPr>
        <w:spacing w:line="360" w:lineRule="auto"/>
        <w:rPr>
          <w:rFonts w:ascii="Cambria" w:eastAsia="Cambria" w:hAnsi="Cambria" w:cs="Cambria"/>
          <w:sz w:val="24"/>
          <w:szCs w:val="24"/>
        </w:rPr>
      </w:pPr>
    </w:p>
    <w:p w14:paraId="101CD517" w14:textId="77777777" w:rsidR="00971C4E" w:rsidRDefault="00000000">
      <w:pPr>
        <w:spacing w:line="360" w:lineRule="auto"/>
        <w:rPr>
          <w:rFonts w:ascii="Cambria" w:eastAsia="Cambria" w:hAnsi="Cambria" w:cs="Cambria"/>
          <w:b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Description of supplementary tables:</w:t>
      </w:r>
    </w:p>
    <w:p w14:paraId="3D278974" w14:textId="77777777" w:rsidR="00971C4E" w:rsidRDefault="00971C4E">
      <w:pPr>
        <w:spacing w:line="360" w:lineRule="auto"/>
        <w:rPr>
          <w:rFonts w:ascii="Cambria" w:eastAsia="Cambria" w:hAnsi="Cambria" w:cs="Cambria"/>
          <w:b/>
          <w:sz w:val="26"/>
          <w:szCs w:val="26"/>
        </w:rPr>
      </w:pPr>
    </w:p>
    <w:p w14:paraId="30D10687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4"/>
          <w:szCs w:val="24"/>
        </w:rPr>
      </w:pPr>
      <w:r>
        <w:rPr>
          <w:rFonts w:ascii="Cambria" w:eastAsia="Cambria" w:hAnsi="Cambria" w:cs="Cambria"/>
          <w:b/>
          <w:i/>
          <w:sz w:val="24"/>
          <w:szCs w:val="24"/>
        </w:rPr>
        <w:t>Supplementary Table 1: Characterisation of phenotypic traits.</w:t>
      </w:r>
      <w:r>
        <w:rPr>
          <w:rFonts w:ascii="Cambria" w:eastAsia="Cambria" w:hAnsi="Cambria" w:cs="Cambria"/>
          <w:i/>
          <w:sz w:val="24"/>
          <w:szCs w:val="24"/>
        </w:rPr>
        <w:t xml:space="preserve"> This table contains data and their literature sources for (</w:t>
      </w:r>
      <w:r>
        <w:rPr>
          <w:rFonts w:ascii="Cambria" w:eastAsia="Cambria" w:hAnsi="Cambria" w:cs="Cambria"/>
          <w:b/>
          <w:i/>
          <w:sz w:val="24"/>
          <w:szCs w:val="24"/>
        </w:rPr>
        <w:t>a</w:t>
      </w:r>
      <w:r>
        <w:rPr>
          <w:rFonts w:ascii="Cambria" w:eastAsia="Cambria" w:hAnsi="Cambria" w:cs="Cambria"/>
          <w:i/>
          <w:sz w:val="24"/>
          <w:szCs w:val="24"/>
        </w:rPr>
        <w:t>) lifespan, (</w:t>
      </w:r>
      <w:r>
        <w:rPr>
          <w:rFonts w:ascii="Cambria" w:eastAsia="Cambria" w:hAnsi="Cambria" w:cs="Cambria"/>
          <w:b/>
          <w:i/>
          <w:sz w:val="24"/>
          <w:szCs w:val="24"/>
        </w:rPr>
        <w:t>b)</w:t>
      </w:r>
      <w:r>
        <w:rPr>
          <w:rFonts w:ascii="Cambria" w:eastAsia="Cambria" w:hAnsi="Cambria" w:cs="Cambria"/>
          <w:i/>
          <w:sz w:val="24"/>
          <w:szCs w:val="24"/>
        </w:rPr>
        <w:t xml:space="preserve"> somatic mutation rate, (</w:t>
      </w:r>
      <w:r>
        <w:rPr>
          <w:rFonts w:ascii="Cambria" w:eastAsia="Cambria" w:hAnsi="Cambria" w:cs="Cambria"/>
          <w:b/>
          <w:i/>
          <w:sz w:val="24"/>
          <w:szCs w:val="24"/>
        </w:rPr>
        <w:t>c</w:t>
      </w:r>
      <w:r>
        <w:rPr>
          <w:rFonts w:ascii="Cambria" w:eastAsia="Cambria" w:hAnsi="Cambria" w:cs="Cambria"/>
          <w:i/>
          <w:sz w:val="24"/>
          <w:szCs w:val="24"/>
        </w:rPr>
        <w:t>) resting heart rate, (</w:t>
      </w:r>
      <w:r>
        <w:rPr>
          <w:rFonts w:ascii="Cambria" w:eastAsia="Cambria" w:hAnsi="Cambria" w:cs="Cambria"/>
          <w:b/>
          <w:i/>
          <w:sz w:val="24"/>
          <w:szCs w:val="24"/>
        </w:rPr>
        <w:t>d</w:t>
      </w:r>
      <w:r>
        <w:rPr>
          <w:rFonts w:ascii="Cambria" w:eastAsia="Cambria" w:hAnsi="Cambria" w:cs="Cambria"/>
          <w:i/>
          <w:sz w:val="24"/>
          <w:szCs w:val="24"/>
        </w:rPr>
        <w:t>) respiratory rate, (</w:t>
      </w:r>
      <w:r>
        <w:rPr>
          <w:rFonts w:ascii="Cambria" w:eastAsia="Cambria" w:hAnsi="Cambria" w:cs="Cambria"/>
          <w:b/>
          <w:i/>
          <w:sz w:val="24"/>
          <w:szCs w:val="24"/>
        </w:rPr>
        <w:t>e</w:t>
      </w:r>
      <w:r>
        <w:rPr>
          <w:rFonts w:ascii="Cambria" w:eastAsia="Cambria" w:hAnsi="Cambria" w:cs="Cambria"/>
          <w:i/>
          <w:sz w:val="24"/>
          <w:szCs w:val="24"/>
        </w:rPr>
        <w:t xml:space="preserve">) </w:t>
      </w:r>
      <w:proofErr w:type="gramStart"/>
      <w:r>
        <w:rPr>
          <w:rFonts w:ascii="Cambria" w:eastAsia="Cambria" w:hAnsi="Cambria" w:cs="Cambria"/>
          <w:i/>
          <w:sz w:val="24"/>
          <w:szCs w:val="24"/>
        </w:rPr>
        <w:t>adult  mass</w:t>
      </w:r>
      <w:proofErr w:type="gramEnd"/>
      <w:r>
        <w:rPr>
          <w:rFonts w:ascii="Cambria" w:eastAsia="Cambria" w:hAnsi="Cambria" w:cs="Cambria"/>
          <w:i/>
          <w:sz w:val="24"/>
          <w:szCs w:val="24"/>
        </w:rPr>
        <w:t>, (</w:t>
      </w:r>
      <w:r>
        <w:rPr>
          <w:rFonts w:ascii="Cambria" w:eastAsia="Cambria" w:hAnsi="Cambria" w:cs="Cambria"/>
          <w:b/>
          <w:i/>
          <w:sz w:val="24"/>
          <w:szCs w:val="24"/>
        </w:rPr>
        <w:t>f</w:t>
      </w:r>
      <w:r>
        <w:rPr>
          <w:rFonts w:ascii="Cambria" w:eastAsia="Cambria" w:hAnsi="Cambria" w:cs="Cambria"/>
          <w:i/>
          <w:sz w:val="24"/>
          <w:szCs w:val="24"/>
        </w:rPr>
        <w:t>)  female sexual maturity, (</w:t>
      </w:r>
      <w:r>
        <w:rPr>
          <w:rFonts w:ascii="Cambria" w:eastAsia="Cambria" w:hAnsi="Cambria" w:cs="Cambria"/>
          <w:b/>
          <w:i/>
          <w:sz w:val="24"/>
          <w:szCs w:val="24"/>
        </w:rPr>
        <w:t>g</w:t>
      </w:r>
      <w:r>
        <w:rPr>
          <w:rFonts w:ascii="Cambria" w:eastAsia="Cambria" w:hAnsi="Cambria" w:cs="Cambria"/>
          <w:i/>
          <w:sz w:val="24"/>
          <w:szCs w:val="24"/>
        </w:rPr>
        <w:t>) male sexual maturity, (</w:t>
      </w:r>
      <w:r>
        <w:rPr>
          <w:rFonts w:ascii="Cambria" w:eastAsia="Cambria" w:hAnsi="Cambria" w:cs="Cambria"/>
          <w:b/>
          <w:i/>
          <w:sz w:val="24"/>
          <w:szCs w:val="24"/>
        </w:rPr>
        <w:t>h</w:t>
      </w:r>
      <w:r>
        <w:rPr>
          <w:rFonts w:ascii="Cambria" w:eastAsia="Cambria" w:hAnsi="Cambria" w:cs="Cambria"/>
          <w:i/>
          <w:sz w:val="24"/>
          <w:szCs w:val="24"/>
        </w:rPr>
        <w:t>) litter size, (</w:t>
      </w:r>
      <w:proofErr w:type="spellStart"/>
      <w:r>
        <w:rPr>
          <w:rFonts w:ascii="Cambria" w:eastAsia="Cambria" w:hAnsi="Cambria" w:cs="Cambria"/>
          <w:b/>
          <w:i/>
          <w:sz w:val="24"/>
          <w:szCs w:val="24"/>
        </w:rPr>
        <w:t>i</w:t>
      </w:r>
      <w:proofErr w:type="spellEnd"/>
      <w:r>
        <w:rPr>
          <w:rFonts w:ascii="Cambria" w:eastAsia="Cambria" w:hAnsi="Cambria" w:cs="Cambria"/>
          <w:i/>
          <w:sz w:val="24"/>
          <w:szCs w:val="24"/>
        </w:rPr>
        <w:t>) mass-specific basal metabolic rate. (</w:t>
      </w:r>
      <w:r>
        <w:rPr>
          <w:rFonts w:ascii="Cambria" w:eastAsia="Cambria" w:hAnsi="Cambria" w:cs="Cambria"/>
          <w:b/>
          <w:i/>
          <w:sz w:val="24"/>
          <w:szCs w:val="24"/>
        </w:rPr>
        <w:t>j</w:t>
      </w:r>
      <w:r>
        <w:rPr>
          <w:rFonts w:ascii="Cambria" w:eastAsia="Cambria" w:hAnsi="Cambria" w:cs="Cambria"/>
          <w:i/>
          <w:sz w:val="24"/>
          <w:szCs w:val="24"/>
        </w:rPr>
        <w:t>) Contains all the previous data compiled in one table.</w:t>
      </w:r>
    </w:p>
    <w:p w14:paraId="5DF42549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sz w:val="24"/>
          <w:szCs w:val="24"/>
        </w:rPr>
      </w:pPr>
    </w:p>
    <w:p w14:paraId="19F68783" w14:textId="54CD6144" w:rsidR="00971C4E" w:rsidRDefault="00000000">
      <w:pPr>
        <w:spacing w:line="360" w:lineRule="auto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b/>
          <w:i/>
          <w:sz w:val="24"/>
          <w:szCs w:val="24"/>
        </w:rPr>
        <w:t xml:space="preserve">Supplementary Table 2: Calculation of resting heart rate and respiratory </w:t>
      </w:r>
      <w:proofErr w:type="gramStart"/>
      <w:r>
        <w:rPr>
          <w:rFonts w:ascii="Cambria" w:eastAsia="Cambria" w:hAnsi="Cambria" w:cs="Cambria"/>
          <w:b/>
          <w:i/>
          <w:sz w:val="24"/>
          <w:szCs w:val="24"/>
        </w:rPr>
        <w:t>rate  estimates</w:t>
      </w:r>
      <w:proofErr w:type="gramEnd"/>
      <w:r>
        <w:rPr>
          <w:rFonts w:ascii="Cambria" w:eastAsia="Cambria" w:hAnsi="Cambria" w:cs="Cambria"/>
          <w:b/>
          <w:i/>
          <w:sz w:val="24"/>
          <w:szCs w:val="24"/>
        </w:rPr>
        <w:t xml:space="preserve"> for each species. </w:t>
      </w:r>
      <w:r>
        <w:rPr>
          <w:rFonts w:ascii="Cambria" w:eastAsia="Cambria" w:hAnsi="Cambria" w:cs="Cambria"/>
          <w:i/>
          <w:sz w:val="24"/>
          <w:szCs w:val="24"/>
        </w:rPr>
        <w:t>This table contains literature sources and the calculation of resting heart rate and respiratory rate estimates for the (</w:t>
      </w:r>
      <w:r>
        <w:rPr>
          <w:rFonts w:ascii="Cambria" w:eastAsia="Cambria" w:hAnsi="Cambria" w:cs="Cambria"/>
          <w:b/>
          <w:i/>
          <w:sz w:val="24"/>
          <w:szCs w:val="24"/>
        </w:rPr>
        <w:t>a</w:t>
      </w:r>
      <w:r>
        <w:rPr>
          <w:rFonts w:ascii="Cambria" w:eastAsia="Cambria" w:hAnsi="Cambria" w:cs="Cambria"/>
          <w:i/>
          <w:sz w:val="24"/>
          <w:szCs w:val="24"/>
        </w:rPr>
        <w:t>) rat, (</w:t>
      </w:r>
      <w:r>
        <w:rPr>
          <w:rFonts w:ascii="Cambria" w:eastAsia="Cambria" w:hAnsi="Cambria" w:cs="Cambria"/>
          <w:b/>
          <w:i/>
          <w:sz w:val="24"/>
          <w:szCs w:val="24"/>
        </w:rPr>
        <w:t>b</w:t>
      </w:r>
      <w:r>
        <w:rPr>
          <w:rFonts w:ascii="Cambria" w:eastAsia="Cambria" w:hAnsi="Cambria" w:cs="Cambria"/>
          <w:i/>
          <w:sz w:val="24"/>
          <w:szCs w:val="24"/>
        </w:rPr>
        <w:t>) mouse, (</w:t>
      </w:r>
      <w:r>
        <w:rPr>
          <w:rFonts w:ascii="Cambria" w:eastAsia="Cambria" w:hAnsi="Cambria" w:cs="Cambria"/>
          <w:b/>
          <w:i/>
          <w:sz w:val="24"/>
          <w:szCs w:val="24"/>
        </w:rPr>
        <w:t>c</w:t>
      </w:r>
      <w:r>
        <w:rPr>
          <w:rFonts w:ascii="Cambria" w:eastAsia="Cambria" w:hAnsi="Cambria" w:cs="Cambria"/>
          <w:i/>
          <w:sz w:val="24"/>
          <w:szCs w:val="24"/>
        </w:rPr>
        <w:t>) ferret, (</w:t>
      </w:r>
      <w:r>
        <w:rPr>
          <w:rFonts w:ascii="Cambria" w:eastAsia="Cambria" w:hAnsi="Cambria" w:cs="Cambria"/>
          <w:b/>
          <w:i/>
          <w:sz w:val="24"/>
          <w:szCs w:val="24"/>
        </w:rPr>
        <w:t>d</w:t>
      </w:r>
      <w:r>
        <w:rPr>
          <w:rFonts w:ascii="Cambria" w:eastAsia="Cambria" w:hAnsi="Cambria" w:cs="Cambria"/>
          <w:i/>
          <w:sz w:val="24"/>
          <w:szCs w:val="24"/>
        </w:rPr>
        <w:t>) rabbit, (</w:t>
      </w:r>
      <w:r>
        <w:rPr>
          <w:rFonts w:ascii="Cambria" w:eastAsia="Cambria" w:hAnsi="Cambria" w:cs="Cambria"/>
          <w:b/>
          <w:i/>
          <w:sz w:val="24"/>
          <w:szCs w:val="24"/>
        </w:rPr>
        <w:t>e</w:t>
      </w:r>
      <w:r>
        <w:rPr>
          <w:rFonts w:ascii="Cambria" w:eastAsia="Cambria" w:hAnsi="Cambria" w:cs="Cambria"/>
          <w:i/>
          <w:sz w:val="24"/>
          <w:szCs w:val="24"/>
        </w:rPr>
        <w:t>) dog, (</w:t>
      </w:r>
      <w:r>
        <w:rPr>
          <w:rFonts w:ascii="Cambria" w:eastAsia="Cambria" w:hAnsi="Cambria" w:cs="Cambria"/>
          <w:b/>
          <w:i/>
          <w:sz w:val="24"/>
          <w:szCs w:val="24"/>
        </w:rPr>
        <w:t>f</w:t>
      </w:r>
      <w:r>
        <w:rPr>
          <w:rFonts w:ascii="Cambria" w:eastAsia="Cambria" w:hAnsi="Cambria" w:cs="Cambria"/>
          <w:i/>
          <w:sz w:val="24"/>
          <w:szCs w:val="24"/>
        </w:rPr>
        <w:t>) tiger, (</w:t>
      </w:r>
      <w:r>
        <w:rPr>
          <w:rFonts w:ascii="Cambria" w:eastAsia="Cambria" w:hAnsi="Cambria" w:cs="Cambria"/>
          <w:b/>
          <w:i/>
          <w:sz w:val="24"/>
          <w:szCs w:val="24"/>
        </w:rPr>
        <w:t>g</w:t>
      </w:r>
      <w:r>
        <w:rPr>
          <w:rFonts w:ascii="Cambria" w:eastAsia="Cambria" w:hAnsi="Cambria" w:cs="Cambria"/>
          <w:i/>
          <w:sz w:val="24"/>
          <w:szCs w:val="24"/>
        </w:rPr>
        <w:t>) cow, (</w:t>
      </w:r>
      <w:r>
        <w:rPr>
          <w:rFonts w:ascii="Cambria" w:eastAsia="Cambria" w:hAnsi="Cambria" w:cs="Cambria"/>
          <w:b/>
          <w:i/>
          <w:sz w:val="24"/>
          <w:szCs w:val="24"/>
        </w:rPr>
        <w:t>h</w:t>
      </w:r>
      <w:r>
        <w:rPr>
          <w:rFonts w:ascii="Cambria" w:eastAsia="Cambria" w:hAnsi="Cambria" w:cs="Cambria"/>
          <w:i/>
          <w:sz w:val="24"/>
          <w:szCs w:val="24"/>
        </w:rPr>
        <w:t>) lion, (</w:t>
      </w:r>
      <w:proofErr w:type="spellStart"/>
      <w:r>
        <w:rPr>
          <w:rFonts w:ascii="Cambria" w:eastAsia="Cambria" w:hAnsi="Cambria" w:cs="Cambria"/>
          <w:b/>
          <w:i/>
          <w:sz w:val="24"/>
          <w:szCs w:val="24"/>
        </w:rPr>
        <w:t>i</w:t>
      </w:r>
      <w:proofErr w:type="spellEnd"/>
      <w:r>
        <w:rPr>
          <w:rFonts w:ascii="Cambria" w:eastAsia="Cambria" w:hAnsi="Cambria" w:cs="Cambria"/>
          <w:i/>
          <w:sz w:val="24"/>
          <w:szCs w:val="24"/>
        </w:rPr>
        <w:t>) giraffe, (</w:t>
      </w:r>
      <w:r>
        <w:rPr>
          <w:rFonts w:ascii="Cambria" w:eastAsia="Cambria" w:hAnsi="Cambria" w:cs="Cambria"/>
          <w:b/>
          <w:i/>
          <w:sz w:val="24"/>
          <w:szCs w:val="24"/>
        </w:rPr>
        <w:t>j</w:t>
      </w:r>
      <w:r>
        <w:rPr>
          <w:rFonts w:ascii="Cambria" w:eastAsia="Cambria" w:hAnsi="Cambria" w:cs="Cambria"/>
          <w:i/>
          <w:sz w:val="24"/>
          <w:szCs w:val="24"/>
        </w:rPr>
        <w:t>) naked mole-rat, (</w:t>
      </w:r>
      <w:r>
        <w:rPr>
          <w:rFonts w:ascii="Cambria" w:eastAsia="Cambria" w:hAnsi="Cambria" w:cs="Cambria"/>
          <w:b/>
          <w:i/>
          <w:sz w:val="24"/>
          <w:szCs w:val="24"/>
        </w:rPr>
        <w:t>k</w:t>
      </w:r>
      <w:r>
        <w:rPr>
          <w:rFonts w:ascii="Cambria" w:eastAsia="Cambria" w:hAnsi="Cambria" w:cs="Cambria"/>
          <w:i/>
          <w:sz w:val="24"/>
          <w:szCs w:val="24"/>
        </w:rPr>
        <w:t>) ring-tailed lemur, (</w:t>
      </w:r>
      <w:r>
        <w:rPr>
          <w:rFonts w:ascii="Cambria" w:eastAsia="Cambria" w:hAnsi="Cambria" w:cs="Cambria"/>
          <w:b/>
          <w:i/>
          <w:sz w:val="24"/>
          <w:szCs w:val="24"/>
        </w:rPr>
        <w:t>l</w:t>
      </w:r>
      <w:r>
        <w:rPr>
          <w:rFonts w:ascii="Cambria" w:eastAsia="Cambria" w:hAnsi="Cambria" w:cs="Cambria"/>
          <w:i/>
          <w:sz w:val="24"/>
          <w:szCs w:val="24"/>
        </w:rPr>
        <w:t>) horse. Calculation of respiratory rate of the human is shown in (</w:t>
      </w:r>
      <w:r>
        <w:rPr>
          <w:rFonts w:ascii="Cambria" w:eastAsia="Cambria" w:hAnsi="Cambria" w:cs="Cambria"/>
          <w:b/>
          <w:i/>
          <w:sz w:val="24"/>
          <w:szCs w:val="24"/>
        </w:rPr>
        <w:t>m</w:t>
      </w:r>
      <w:r>
        <w:rPr>
          <w:rFonts w:ascii="Cambria" w:eastAsia="Cambria" w:hAnsi="Cambria" w:cs="Cambria"/>
          <w:i/>
          <w:sz w:val="24"/>
          <w:szCs w:val="24"/>
        </w:rPr>
        <w:t>).</w:t>
      </w:r>
      <w:r>
        <w:rPr>
          <w:rFonts w:ascii="Cambria" w:eastAsia="Cambria" w:hAnsi="Cambria" w:cs="Cambria"/>
          <w:sz w:val="24"/>
          <w:szCs w:val="24"/>
        </w:rPr>
        <w:br/>
      </w:r>
    </w:p>
    <w:p w14:paraId="756CB38D" w14:textId="77626BB0" w:rsidR="007517B2" w:rsidRDefault="00000000">
      <w:pPr>
        <w:spacing w:line="360" w:lineRule="auto"/>
        <w:jc w:val="both"/>
        <w:rPr>
          <w:rFonts w:ascii="Cambria" w:eastAsia="Cambria" w:hAnsi="Cambria" w:cs="Cambria"/>
          <w:b/>
          <w:i/>
          <w:sz w:val="24"/>
          <w:szCs w:val="24"/>
        </w:rPr>
      </w:pPr>
      <w:r>
        <w:rPr>
          <w:rFonts w:ascii="Cambria" w:eastAsia="Cambria" w:hAnsi="Cambria" w:cs="Cambria"/>
          <w:b/>
          <w:i/>
          <w:sz w:val="24"/>
          <w:szCs w:val="24"/>
        </w:rPr>
        <w:t xml:space="preserve">Supplementary Table </w:t>
      </w:r>
      <w:r w:rsidR="00C96794">
        <w:rPr>
          <w:rFonts w:ascii="Cambria" w:eastAsia="Cambria" w:hAnsi="Cambria" w:cs="Cambria"/>
          <w:b/>
          <w:i/>
          <w:sz w:val="24"/>
          <w:szCs w:val="24"/>
        </w:rPr>
        <w:t>3</w:t>
      </w:r>
      <w:r>
        <w:rPr>
          <w:rFonts w:ascii="Cambria" w:eastAsia="Cambria" w:hAnsi="Cambria" w:cs="Cambria"/>
          <w:b/>
          <w:i/>
          <w:sz w:val="24"/>
          <w:szCs w:val="24"/>
        </w:rPr>
        <w:t>: Calculation of mass-specific basal metabolic rate estimates</w:t>
      </w:r>
      <w:r>
        <w:rPr>
          <w:rFonts w:ascii="Cambria" w:eastAsia="Cambria" w:hAnsi="Cambria" w:cs="Cambria"/>
          <w:i/>
          <w:sz w:val="24"/>
          <w:szCs w:val="24"/>
        </w:rPr>
        <w:t>. The table contains literature sources and the calculation of mass-specific basal metabolic rate estimates for the (</w:t>
      </w:r>
      <w:r>
        <w:rPr>
          <w:rFonts w:ascii="Cambria" w:eastAsia="Cambria" w:hAnsi="Cambria" w:cs="Cambria"/>
          <w:b/>
          <w:i/>
          <w:sz w:val="24"/>
          <w:szCs w:val="24"/>
        </w:rPr>
        <w:t>a</w:t>
      </w:r>
      <w:r>
        <w:rPr>
          <w:rFonts w:ascii="Cambria" w:eastAsia="Cambria" w:hAnsi="Cambria" w:cs="Cambria"/>
          <w:i/>
          <w:sz w:val="24"/>
          <w:szCs w:val="24"/>
        </w:rPr>
        <w:t>) ferret, (</w:t>
      </w:r>
      <w:r>
        <w:rPr>
          <w:rFonts w:ascii="Cambria" w:eastAsia="Cambria" w:hAnsi="Cambria" w:cs="Cambria"/>
          <w:b/>
          <w:i/>
          <w:sz w:val="24"/>
          <w:szCs w:val="24"/>
        </w:rPr>
        <w:t>b</w:t>
      </w:r>
      <w:r>
        <w:rPr>
          <w:rFonts w:ascii="Cambria" w:eastAsia="Cambria" w:hAnsi="Cambria" w:cs="Cambria"/>
          <w:i/>
          <w:sz w:val="24"/>
          <w:szCs w:val="24"/>
        </w:rPr>
        <w:t>) dog, (</w:t>
      </w:r>
      <w:r>
        <w:rPr>
          <w:rFonts w:ascii="Cambria" w:eastAsia="Cambria" w:hAnsi="Cambria" w:cs="Cambria"/>
          <w:b/>
          <w:i/>
          <w:sz w:val="24"/>
          <w:szCs w:val="24"/>
        </w:rPr>
        <w:t>c</w:t>
      </w:r>
      <w:r>
        <w:rPr>
          <w:rFonts w:ascii="Cambria" w:eastAsia="Cambria" w:hAnsi="Cambria" w:cs="Cambria"/>
          <w:i/>
          <w:sz w:val="24"/>
          <w:szCs w:val="24"/>
        </w:rPr>
        <w:t>) cat, (</w:t>
      </w:r>
      <w:r>
        <w:rPr>
          <w:rFonts w:ascii="Cambria" w:eastAsia="Cambria" w:hAnsi="Cambria" w:cs="Cambria"/>
          <w:b/>
          <w:i/>
          <w:sz w:val="24"/>
          <w:szCs w:val="24"/>
        </w:rPr>
        <w:t>d</w:t>
      </w:r>
      <w:r>
        <w:rPr>
          <w:rFonts w:ascii="Cambria" w:eastAsia="Cambria" w:hAnsi="Cambria" w:cs="Cambria"/>
          <w:i/>
          <w:sz w:val="24"/>
          <w:szCs w:val="24"/>
        </w:rPr>
        <w:t>) giraffe, (</w:t>
      </w:r>
      <w:r>
        <w:rPr>
          <w:rFonts w:ascii="Cambria" w:eastAsia="Cambria" w:hAnsi="Cambria" w:cs="Cambria"/>
          <w:b/>
          <w:i/>
          <w:sz w:val="24"/>
          <w:szCs w:val="24"/>
        </w:rPr>
        <w:t>e</w:t>
      </w:r>
      <w:r>
        <w:rPr>
          <w:rFonts w:ascii="Cambria" w:eastAsia="Cambria" w:hAnsi="Cambria" w:cs="Cambria"/>
          <w:i/>
          <w:sz w:val="24"/>
          <w:szCs w:val="24"/>
        </w:rPr>
        <w:t>) ring-tailed lemur and (</w:t>
      </w:r>
      <w:r>
        <w:rPr>
          <w:rFonts w:ascii="Cambria" w:eastAsia="Cambria" w:hAnsi="Cambria" w:cs="Cambria"/>
          <w:b/>
          <w:i/>
          <w:sz w:val="24"/>
          <w:szCs w:val="24"/>
        </w:rPr>
        <w:t>f</w:t>
      </w:r>
      <w:r>
        <w:rPr>
          <w:rFonts w:ascii="Cambria" w:eastAsia="Cambria" w:hAnsi="Cambria" w:cs="Cambria"/>
          <w:i/>
          <w:sz w:val="24"/>
          <w:szCs w:val="24"/>
        </w:rPr>
        <w:t>) horse</w:t>
      </w:r>
      <w:r>
        <w:rPr>
          <w:rFonts w:ascii="Cambria" w:eastAsia="Cambria" w:hAnsi="Cambria" w:cs="Cambria"/>
          <w:b/>
          <w:i/>
          <w:sz w:val="24"/>
          <w:szCs w:val="24"/>
        </w:rPr>
        <w:t>.</w:t>
      </w:r>
    </w:p>
    <w:p w14:paraId="0364F7E7" w14:textId="77777777" w:rsidR="007517B2" w:rsidRDefault="007517B2">
      <w:pPr>
        <w:spacing w:line="360" w:lineRule="auto"/>
        <w:jc w:val="both"/>
        <w:rPr>
          <w:rFonts w:ascii="Cambria" w:eastAsia="Cambria" w:hAnsi="Cambria" w:cs="Cambria"/>
          <w:b/>
          <w:i/>
          <w:sz w:val="24"/>
          <w:szCs w:val="24"/>
        </w:rPr>
      </w:pPr>
    </w:p>
    <w:p w14:paraId="21B95A13" w14:textId="080DDA9F" w:rsidR="00971C4E" w:rsidRDefault="007517B2">
      <w:pPr>
        <w:spacing w:line="360" w:lineRule="auto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b/>
          <w:i/>
          <w:sz w:val="24"/>
          <w:szCs w:val="24"/>
        </w:rPr>
        <w:t xml:space="preserve">Supplementary Table </w:t>
      </w:r>
      <w:r w:rsidR="00C96794">
        <w:rPr>
          <w:rFonts w:ascii="Cambria" w:eastAsia="Cambria" w:hAnsi="Cambria" w:cs="Cambria"/>
          <w:b/>
          <w:i/>
          <w:sz w:val="24"/>
          <w:szCs w:val="24"/>
        </w:rPr>
        <w:t>4</w:t>
      </w:r>
      <w:r>
        <w:rPr>
          <w:rFonts w:ascii="Cambria" w:eastAsia="Cambria" w:hAnsi="Cambria" w:cs="Cambria"/>
          <w:b/>
          <w:i/>
          <w:sz w:val="24"/>
          <w:szCs w:val="24"/>
        </w:rPr>
        <w:t xml:space="preserve">: Results of statistical analysis. </w:t>
      </w:r>
      <w:r>
        <w:rPr>
          <w:rFonts w:ascii="Cambria" w:eastAsia="Cambria" w:hAnsi="Cambria" w:cs="Cambria"/>
          <w:i/>
          <w:sz w:val="24"/>
          <w:szCs w:val="24"/>
        </w:rPr>
        <w:t>This table contains the results of (</w:t>
      </w:r>
      <w:r>
        <w:rPr>
          <w:rFonts w:ascii="Cambria" w:eastAsia="Cambria" w:hAnsi="Cambria" w:cs="Cambria"/>
          <w:b/>
          <w:i/>
          <w:sz w:val="24"/>
          <w:szCs w:val="24"/>
        </w:rPr>
        <w:t>a</w:t>
      </w:r>
      <w:r>
        <w:rPr>
          <w:rFonts w:ascii="Cambria" w:eastAsia="Cambria" w:hAnsi="Cambria" w:cs="Cambria"/>
          <w:i/>
          <w:sz w:val="24"/>
          <w:szCs w:val="24"/>
        </w:rPr>
        <w:t>) correlation analysis, (</w:t>
      </w:r>
      <w:r>
        <w:rPr>
          <w:rFonts w:ascii="Cambria" w:eastAsia="Cambria" w:hAnsi="Cambria" w:cs="Cambria"/>
          <w:b/>
          <w:i/>
          <w:sz w:val="24"/>
          <w:szCs w:val="24"/>
        </w:rPr>
        <w:t>b</w:t>
      </w:r>
      <w:r>
        <w:rPr>
          <w:rFonts w:ascii="Cambria" w:eastAsia="Cambria" w:hAnsi="Cambria" w:cs="Cambria"/>
          <w:i/>
          <w:sz w:val="24"/>
          <w:szCs w:val="24"/>
        </w:rPr>
        <w:t>) partial correlation analysis and (</w:t>
      </w:r>
      <w:r>
        <w:rPr>
          <w:rFonts w:ascii="Cambria" w:eastAsia="Cambria" w:hAnsi="Cambria" w:cs="Cambria"/>
          <w:b/>
          <w:i/>
          <w:sz w:val="24"/>
          <w:szCs w:val="24"/>
        </w:rPr>
        <w:t>c</w:t>
      </w:r>
      <w:r>
        <w:rPr>
          <w:rFonts w:ascii="Cambria" w:eastAsia="Cambria" w:hAnsi="Cambria" w:cs="Cambria"/>
          <w:i/>
          <w:sz w:val="24"/>
          <w:szCs w:val="24"/>
        </w:rPr>
        <w:t>) linear model fits.</w:t>
      </w:r>
      <w:r w:rsidR="00000000">
        <w:br w:type="page"/>
      </w:r>
    </w:p>
    <w:p w14:paraId="5EC14831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b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lastRenderedPageBreak/>
        <w:t>Supplementary figures:</w:t>
      </w:r>
    </w:p>
    <w:p w14:paraId="37FB6FF8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1: Log lifespan as a function of log somatic mutation rate.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ordinary least squares (OLS) model. This model leverages lifespan as a function of somatic mutation rate,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phylogenetic generalised least squares model (PGLS) model. This model uses lifespan as a function of somatic mutation rate,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 </w:t>
      </w:r>
      <w:r>
        <w:br w:type="page"/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1ED80969" wp14:editId="60EDD477">
            <wp:simplePos x="0" y="0"/>
            <wp:positionH relativeFrom="column">
              <wp:posOffset>9526</wp:posOffset>
            </wp:positionH>
            <wp:positionV relativeFrom="paragraph">
              <wp:posOffset>232605</wp:posOffset>
            </wp:positionV>
            <wp:extent cx="5734050" cy="3082095"/>
            <wp:effectExtent l="0" t="0" r="0" b="0"/>
            <wp:wrapTopAndBottom distT="114300" distB="114300"/>
            <wp:docPr id="9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t="99" b="99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0820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40353B6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1EFCB279" wp14:editId="5F578C3E">
            <wp:extent cx="5731200" cy="3086100"/>
            <wp:effectExtent l="0" t="0" r="0" b="0"/>
            <wp:docPr id="7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7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EAF460E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2: Log lifespan as a function of log respiratory rate.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ordinary least squares (OLS) model. This model leverages lifespan as a function of respiratory rate,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phylogenetic generalised least squares model (PGLS) model. This model uses lifespan as a function of respiratory rate,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351F783B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3CAC20E2" wp14:editId="32764955">
            <wp:extent cx="5731200" cy="3086100"/>
            <wp:effectExtent l="0" t="0" r="0" b="0"/>
            <wp:docPr id="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3542D8D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3: Log lifespan as a function of log resting heart rate.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ordinary least squares (OLS) model. This model leverages lifespan as a function of resting heart rate,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phylogenetic generalised least squares model (PGLS) model. This model uses lifespan as a function of resting heart rate,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1F6443F4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7EE80370" wp14:editId="25D8DD6B">
            <wp:extent cx="5731200" cy="3086100"/>
            <wp:effectExtent l="0" t="0" r="0" b="0"/>
            <wp:docPr id="5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9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48FB74A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4: Log lifespan as a function of log adult mass.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ordinary least squares (OLS) model. This model leverages lifespan as a function of adult mass,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phylogenetic generalised least squares model (PGLS) model. This model uses lifespan as a function of adult mass,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78776EF1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0BB323EC" wp14:editId="7275C43C">
            <wp:extent cx="5731200" cy="3086100"/>
            <wp:effectExtent l="0" t="0" r="0" b="0"/>
            <wp:docPr id="1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0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8E80452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5: Log lifespan as a function of log female sexual maturity.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ordinary least squares (OLS) model. This model leverages lifespan as a function of female sexual maturity,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phylogenetic generalised least squares model (PGLS) model. This model uses lifespan as a function of female sexual maturity,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17FA7F81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2AF63825" wp14:editId="42D4B124">
            <wp:extent cx="5731200" cy="3086100"/>
            <wp:effectExtent l="0" t="0" r="0" b="0"/>
            <wp:docPr id="14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1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FFA36CD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6: Log lifespan as a function of log male sexual maturity.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ordinary least squares (OLS) model. This model leverages lifespan as a function of male sexual maturity,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phylogenetic generalised least squares model (PGLS) model. This model uses lifespan as a function of male sexual maturity,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3D15467E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749C99C7" wp14:editId="36C4501E">
            <wp:extent cx="5731200" cy="3086100"/>
            <wp:effectExtent l="0" t="0" r="0" b="0"/>
            <wp:docPr id="15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2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43E1887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7: Log lifespan as a function of litter size.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ordinary least squares (OLS) model. This model leverages lifespan as a function of litter size,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phylogenetic generalised least squares model (PGLS) model. This model uses lifespan as a function of litter size,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0D3FDB32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24426D3C" wp14:editId="23656493">
            <wp:extent cx="5731200" cy="3086100"/>
            <wp:effectExtent l="0" t="0" r="0" b="0"/>
            <wp:docPr id="1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5C8D338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8: Log lifespan as a function of log mass-specific basal metabolic rate (BMR).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ordinary least squares (OLS) model. This model leverages lifespan as a function of mass-specific basal metabolic rate,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univariate phylogenetic generalised least squares model (PGLS) model. This model uses lifespan as a function of mass-specific basal metabolic rate,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645C052D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03D023B6" wp14:editId="62F6BB75">
            <wp:extent cx="5731200" cy="3086100"/>
            <wp:effectExtent l="0" t="0" r="0" b="0"/>
            <wp:docPr id="10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4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93F7686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9: Log lifespan as a function of log somatic mutation rate and log respiratory rate.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ordinary least squares (OLS) model. This model leverages lifespan as a function of somatic mutation rate and respiratory rate,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phylogenetic generalised least squares model (PGLS) model. This model uses lifespan as a function of somatic mutation rate and respiratory rate,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52B2D117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2E825624" wp14:editId="592F665D">
            <wp:extent cx="5731200" cy="308610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5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10C341A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10: Log lifespan as a function of log somatic mutation rate and log resting heart rate.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ordinary least squares (OLS) model. This model leverages lifespan as a function of somatic mutation rate and resting heart rate,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phylogenetic generalised least squares model (PGLS) model. This model uses lifespan as a function of somatic mutation rate and resting heart rate,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3C378DA1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0A76DBF9" wp14:editId="0CE19F4D">
            <wp:extent cx="5731200" cy="3086100"/>
            <wp:effectExtent l="0" t="0" r="0" b="0"/>
            <wp:docPr id="2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6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A413E91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11: Log lifespan as a function of log somatic mutation rate and log adult mass.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ordinary least squares (OLS) model. This model leverages lifespan as a function of somatic mutation rate and adult mass,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phylogenetic generalised least squares model (PGLS) model. This model uses lifespan as a function of somatic mutation rate and adult mass,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740A1BC9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46A8F728" wp14:editId="5B1E9D7C">
            <wp:extent cx="5731200" cy="3086100"/>
            <wp:effectExtent l="0" t="0" r="0" b="0"/>
            <wp:docPr id="11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7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2D8E96D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12: Log lifespan as a function of log somatic mutation rate and log female sexual maturity.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ordinary least squares (OLS) model. This model leverages lifespan as a function of somatic mutation rate and female sexual maturity,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phylogenetic generalised least squares model (PGLS) model. This model uses lifespan as a function of somatic mutation rate and female sexual maturity,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167FDABC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408C83BA" wp14:editId="69A63CB3">
            <wp:extent cx="5731200" cy="3086100"/>
            <wp:effectExtent l="0" t="0" r="0" b="0"/>
            <wp:docPr id="16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8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1F7137F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13: Log lifespan as a function of log somatic mutation rate and log male sexual maturity.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ordinary least squares (OLS) model. This model leverages lifespan as a function of somatic mutation rate and male sexual maturity,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phylogenetic generalised least squares model (PGLS) model. This model uses lifespan as a function of somatic mutation rate and male sexual maturity,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3EB3C7A1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29739FD5" wp14:editId="53C76B12">
            <wp:extent cx="5731200" cy="3086100"/>
            <wp:effectExtent l="0" t="0" r="0" b="0"/>
            <wp:docPr id="13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9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1FE32D3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14: Log lifespan as a function of log somatic mutation rate and litter size.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ordinary least squares (OLS) model. This model leverages lifespan as a function of somatic mutation rate and litter size,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phylogenetic generalised least squares model (PGLS) model. This model uses lifespan as a function of somatic mutation rate and litter size,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  <w:r>
        <w:br w:type="page"/>
      </w:r>
    </w:p>
    <w:p w14:paraId="5FF07921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i/>
          <w:noProof/>
          <w:sz w:val="20"/>
          <w:szCs w:val="20"/>
        </w:rPr>
        <w:lastRenderedPageBreak/>
        <w:drawing>
          <wp:inline distT="114300" distB="114300" distL="114300" distR="114300" wp14:anchorId="24637053" wp14:editId="15D8F161">
            <wp:extent cx="5731200" cy="3086100"/>
            <wp:effectExtent l="0" t="0" r="0" b="0"/>
            <wp:docPr id="8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0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763D4D6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t>Supplementary figure 15: Log lifespan as a function of log somatic mutation rate and log mass-specific basal metabolic rate (BMR).</w:t>
      </w:r>
      <w:r>
        <w:rPr>
          <w:rFonts w:ascii="Cambria" w:eastAsia="Cambria" w:hAnsi="Cambria" w:cs="Cambria"/>
          <w:i/>
          <w:sz w:val="20"/>
          <w:szCs w:val="20"/>
        </w:rPr>
        <w:t xml:space="preserve"> Here is shown the (</w:t>
      </w:r>
      <w:r>
        <w:rPr>
          <w:rFonts w:ascii="Cambria" w:eastAsia="Cambria" w:hAnsi="Cambria" w:cs="Cambria"/>
          <w:b/>
          <w:i/>
          <w:sz w:val="20"/>
          <w:szCs w:val="20"/>
        </w:rPr>
        <w:t>a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 (</w:t>
      </w:r>
      <w:r>
        <w:rPr>
          <w:rFonts w:ascii="Cambria" w:eastAsia="Cambria" w:hAnsi="Cambria" w:cs="Cambria"/>
          <w:b/>
          <w:i/>
          <w:sz w:val="20"/>
          <w:szCs w:val="20"/>
        </w:rPr>
        <w:t>b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c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ordinary least squares (OLS) model. This model leverages lifespan as a function of somatic mutation rate and mass-specific basal metabolic rate, assuming statistical independence between the species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lambda=0). In addition, we display the (</w:t>
      </w:r>
      <w:r>
        <w:rPr>
          <w:rFonts w:ascii="Cambria" w:eastAsia="Cambria" w:hAnsi="Cambria" w:cs="Cambria"/>
          <w:b/>
          <w:i/>
          <w:sz w:val="20"/>
          <w:szCs w:val="20"/>
        </w:rPr>
        <w:t>d</w:t>
      </w:r>
      <w:r>
        <w:rPr>
          <w:rFonts w:ascii="Cambria" w:eastAsia="Cambria" w:hAnsi="Cambria" w:cs="Cambria"/>
          <w:i/>
          <w:sz w:val="20"/>
          <w:szCs w:val="20"/>
        </w:rPr>
        <w:t xml:space="preserve">) 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QQplot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>,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>(</w:t>
      </w:r>
      <w:r>
        <w:rPr>
          <w:rFonts w:ascii="Cambria" w:eastAsia="Cambria" w:hAnsi="Cambria" w:cs="Cambria"/>
          <w:b/>
          <w:i/>
          <w:sz w:val="20"/>
          <w:szCs w:val="20"/>
        </w:rPr>
        <w:t>e</w:t>
      </w:r>
      <w:r>
        <w:rPr>
          <w:rFonts w:ascii="Cambria" w:eastAsia="Cambria" w:hAnsi="Cambria" w:cs="Cambria"/>
          <w:i/>
          <w:sz w:val="20"/>
          <w:szCs w:val="20"/>
        </w:rPr>
        <w:t>) residual and (</w:t>
      </w:r>
      <w:r>
        <w:rPr>
          <w:rFonts w:ascii="Cambria" w:eastAsia="Cambria" w:hAnsi="Cambria" w:cs="Cambria"/>
          <w:b/>
          <w:i/>
          <w:sz w:val="20"/>
          <w:szCs w:val="20"/>
        </w:rPr>
        <w:t>f</w:t>
      </w:r>
      <w:r>
        <w:rPr>
          <w:rFonts w:ascii="Cambria" w:eastAsia="Cambria" w:hAnsi="Cambria" w:cs="Cambria"/>
          <w:i/>
          <w:sz w:val="20"/>
          <w:szCs w:val="20"/>
        </w:rPr>
        <w:t>) scale-location plot of the multivariate phylogenetic generalised least squares model (PGLS) model. This model uses lifespan as a function of somatic mutation rate and mass-specific basal metabolic rate, assuming a Brownian-motion model of evolution and a strong phylogenetic signal (</w:t>
      </w:r>
      <w:proofErr w:type="spellStart"/>
      <w:r>
        <w:rPr>
          <w:rFonts w:ascii="Cambria" w:eastAsia="Cambria" w:hAnsi="Cambria" w:cs="Cambria"/>
          <w:i/>
          <w:sz w:val="20"/>
          <w:szCs w:val="20"/>
        </w:rPr>
        <w:t>Pagel's</w:t>
      </w:r>
      <w:proofErr w:type="spellEnd"/>
      <w:r>
        <w:rPr>
          <w:rFonts w:ascii="Cambria" w:eastAsia="Cambria" w:hAnsi="Cambria" w:cs="Cambria"/>
          <w:i/>
          <w:sz w:val="20"/>
          <w:szCs w:val="20"/>
        </w:rPr>
        <w:t xml:space="preserve"> lambda=1).</w:t>
      </w:r>
    </w:p>
    <w:p w14:paraId="3BE8D428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6E1FE822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591945E1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399AA760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7D13D128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7C4BF013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0846158C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03B54D17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5D5B2BCB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0DABECAE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17A39233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792C70D6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38F1B86E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2C3D2303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4074F5C5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62054B93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00312B69" w14:textId="77777777" w:rsidR="00971C4E" w:rsidRDefault="00971C4E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</w:p>
    <w:p w14:paraId="795B08EC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sz w:val="20"/>
          <w:szCs w:val="20"/>
        </w:rPr>
        <w:lastRenderedPageBreak/>
        <w:t xml:space="preserve">Supplementary figure 16: Distribution of the adjusted R-squared values of two OLS models predicting lifespan, bootstrapped dataset. </w:t>
      </w:r>
      <w:r>
        <w:rPr>
          <w:rFonts w:ascii="Cambria" w:eastAsia="Cambria" w:hAnsi="Cambria" w:cs="Cambria"/>
          <w:i/>
          <w:sz w:val="20"/>
          <w:szCs w:val="20"/>
        </w:rPr>
        <w:t>Here the distribution of the adjusted R-squared values of the two OLS models (</w:t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log lifespan ~ log somatic mutation rate </w:t>
      </w:r>
      <w:r>
        <w:rPr>
          <w:rFonts w:ascii="Cambria" w:eastAsia="Cambria" w:hAnsi="Cambria" w:cs="Cambria"/>
          <w:i/>
          <w:sz w:val="20"/>
          <w:szCs w:val="20"/>
        </w:rPr>
        <w:t xml:space="preserve">vs. </w:t>
      </w:r>
      <w:r>
        <w:rPr>
          <w:rFonts w:ascii="Cambria" w:eastAsia="Cambria" w:hAnsi="Cambria" w:cs="Cambria"/>
          <w:b/>
          <w:i/>
          <w:sz w:val="20"/>
          <w:szCs w:val="20"/>
        </w:rPr>
        <w:t>log lifespan ~ log somatic mutation rate + log resting heart rate</w:t>
      </w:r>
      <w:r>
        <w:rPr>
          <w:rFonts w:ascii="Cambria" w:eastAsia="Cambria" w:hAnsi="Cambria" w:cs="Cambria"/>
          <w:i/>
          <w:sz w:val="20"/>
          <w:szCs w:val="20"/>
        </w:rPr>
        <w:t>) are shown. The adjusted R-squared values were calculated for each bootstrapped dataset, in total for n=1,000 resamples.</w:t>
      </w:r>
      <w:r>
        <w:br w:type="page"/>
      </w:r>
      <w:r>
        <w:rPr>
          <w:noProof/>
        </w:rPr>
        <w:drawing>
          <wp:anchor distT="57150" distB="57150" distL="57150" distR="57150" simplePos="0" relativeHeight="251659264" behindDoc="0" locked="0" layoutInCell="1" hidden="0" allowOverlap="1" wp14:anchorId="3EB0C5D1" wp14:editId="1EA1C9E1">
            <wp:simplePos x="0" y="0"/>
            <wp:positionH relativeFrom="column">
              <wp:posOffset>19051</wp:posOffset>
            </wp:positionH>
            <wp:positionV relativeFrom="paragraph">
              <wp:posOffset>114300</wp:posOffset>
            </wp:positionV>
            <wp:extent cx="5731200" cy="4089400"/>
            <wp:effectExtent l="0" t="0" r="0" b="0"/>
            <wp:wrapSquare wrapText="bothSides" distT="57150" distB="57150" distL="57150" distR="57150"/>
            <wp:docPr id="6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89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4724544" w14:textId="77777777" w:rsidR="00971C4E" w:rsidRDefault="00000000">
      <w:pPr>
        <w:spacing w:line="360" w:lineRule="auto"/>
        <w:jc w:val="both"/>
        <w:rPr>
          <w:rFonts w:ascii="Cambria" w:eastAsia="Cambria" w:hAnsi="Cambria" w:cs="Cambria"/>
          <w:i/>
          <w:sz w:val="20"/>
          <w:szCs w:val="20"/>
        </w:rPr>
      </w:pPr>
      <w:r>
        <w:rPr>
          <w:rFonts w:ascii="Cambria" w:eastAsia="Cambria" w:hAnsi="Cambria" w:cs="Cambria"/>
          <w:b/>
          <w:i/>
          <w:noProof/>
          <w:sz w:val="20"/>
          <w:szCs w:val="20"/>
        </w:rPr>
        <w:lastRenderedPageBreak/>
        <w:drawing>
          <wp:inline distT="114300" distB="114300" distL="114300" distR="114300" wp14:anchorId="3FCA863E" wp14:editId="578CD9A1">
            <wp:extent cx="5731200" cy="3403600"/>
            <wp:effectExtent l="0" t="0" r="0" b="0"/>
            <wp:docPr id="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40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i/>
          <w:sz w:val="20"/>
          <w:szCs w:val="20"/>
        </w:rPr>
        <w:t xml:space="preserve">Supplementary figure 17: Distribution of significance levels of partial correlation with lifespan after correcting for somatic mutation rate, bootstrapped </w:t>
      </w:r>
      <w:proofErr w:type="gramStart"/>
      <w:r>
        <w:rPr>
          <w:rFonts w:ascii="Cambria" w:eastAsia="Cambria" w:hAnsi="Cambria" w:cs="Cambria"/>
          <w:b/>
          <w:i/>
          <w:sz w:val="20"/>
          <w:szCs w:val="20"/>
        </w:rPr>
        <w:t>dataset .</w:t>
      </w:r>
      <w:proofErr w:type="gramEnd"/>
      <w:r>
        <w:rPr>
          <w:rFonts w:ascii="Cambria" w:eastAsia="Cambria" w:hAnsi="Cambria" w:cs="Cambria"/>
          <w:b/>
          <w:i/>
          <w:sz w:val="20"/>
          <w:szCs w:val="20"/>
        </w:rPr>
        <w:t xml:space="preserve"> </w:t>
      </w:r>
      <w:r>
        <w:rPr>
          <w:rFonts w:ascii="Cambria" w:eastAsia="Cambria" w:hAnsi="Cambria" w:cs="Cambria"/>
          <w:i/>
          <w:sz w:val="20"/>
          <w:szCs w:val="20"/>
        </w:rPr>
        <w:t xml:space="preserve">For each bootstrapped dataset in the 1,000 resamples, we performed partial correlation analysis by controlling for somatic mutation rate’s effect, and calculated p-values of both resting heart </w:t>
      </w:r>
      <w:proofErr w:type="gramStart"/>
      <w:r>
        <w:rPr>
          <w:rFonts w:ascii="Cambria" w:eastAsia="Cambria" w:hAnsi="Cambria" w:cs="Cambria"/>
          <w:i/>
          <w:sz w:val="20"/>
          <w:szCs w:val="20"/>
        </w:rPr>
        <w:t>rate’s</w:t>
      </w:r>
      <w:proofErr w:type="gramEnd"/>
      <w:r>
        <w:rPr>
          <w:rFonts w:ascii="Cambria" w:eastAsia="Cambria" w:hAnsi="Cambria" w:cs="Cambria"/>
          <w:i/>
          <w:sz w:val="20"/>
          <w:szCs w:val="20"/>
        </w:rPr>
        <w:t xml:space="preserve"> and mass-specific basal metabolic rate’s (BMR) partial Pearson correlation with lifespan. Here shown is the distribution of the Pearson -log</w:t>
      </w:r>
      <w:proofErr w:type="gramStart"/>
      <w:r>
        <w:rPr>
          <w:rFonts w:ascii="Cambria" w:eastAsia="Cambria" w:hAnsi="Cambria" w:cs="Cambria"/>
          <w:i/>
          <w:sz w:val="20"/>
          <w:szCs w:val="20"/>
          <w:vertAlign w:val="subscript"/>
        </w:rPr>
        <w:t xml:space="preserve">10 </w:t>
      </w:r>
      <w:r>
        <w:rPr>
          <w:rFonts w:ascii="Cambria" w:eastAsia="Cambria" w:hAnsi="Cambria" w:cs="Cambria"/>
          <w:i/>
          <w:sz w:val="20"/>
          <w:szCs w:val="20"/>
        </w:rPr>
        <w:t xml:space="preserve"> p</w:t>
      </w:r>
      <w:proofErr w:type="gramEnd"/>
      <w:r>
        <w:rPr>
          <w:rFonts w:ascii="Cambria" w:eastAsia="Cambria" w:hAnsi="Cambria" w:cs="Cambria"/>
          <w:i/>
          <w:sz w:val="20"/>
          <w:szCs w:val="20"/>
        </w:rPr>
        <w:t>-values for the bootstrapped dataset, the red dashed line indicates -log</w:t>
      </w:r>
      <w:r>
        <w:rPr>
          <w:rFonts w:ascii="Cambria" w:eastAsia="Cambria" w:hAnsi="Cambria" w:cs="Cambria"/>
          <w:i/>
          <w:sz w:val="20"/>
          <w:szCs w:val="20"/>
          <w:vertAlign w:val="subscript"/>
        </w:rPr>
        <w:t>10</w:t>
      </w:r>
      <w:r>
        <w:rPr>
          <w:rFonts w:ascii="Cambria" w:eastAsia="Cambria" w:hAnsi="Cambria" w:cs="Cambria"/>
          <w:i/>
          <w:sz w:val="20"/>
          <w:szCs w:val="20"/>
        </w:rPr>
        <w:t xml:space="preserve">(0.05) value. </w:t>
      </w:r>
    </w:p>
    <w:sectPr w:rsidR="00971C4E">
      <w:footerReference w:type="default" r:id="rId23"/>
      <w:footerReference w:type="first" r:id="rId24"/>
      <w:pgSz w:w="11909" w:h="16834"/>
      <w:pgMar w:top="1440" w:right="1440" w:bottom="144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1F6484" w14:textId="77777777" w:rsidR="00DE2AAE" w:rsidRDefault="00DE2AAE">
      <w:pPr>
        <w:spacing w:line="240" w:lineRule="auto"/>
      </w:pPr>
      <w:r>
        <w:separator/>
      </w:r>
    </w:p>
  </w:endnote>
  <w:endnote w:type="continuationSeparator" w:id="0">
    <w:p w14:paraId="377DECC2" w14:textId="77777777" w:rsidR="00DE2AAE" w:rsidRDefault="00DE2AA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1C0E68" w14:textId="77777777" w:rsidR="00971C4E" w:rsidRDefault="00000000">
    <w:pPr>
      <w:jc w:val="right"/>
    </w:pPr>
    <w:r>
      <w:t xml:space="preserve">Page </w:t>
    </w:r>
    <w:r>
      <w:fldChar w:fldCharType="begin"/>
    </w:r>
    <w:r>
      <w:instrText>PAGE</w:instrText>
    </w:r>
    <w:r>
      <w:fldChar w:fldCharType="separate"/>
    </w:r>
    <w:r w:rsidR="007517B2">
      <w:rPr>
        <w:noProof/>
      </w:rP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31CC6" w14:textId="77777777" w:rsidR="00971C4E" w:rsidRDefault="00971C4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571910" w14:textId="77777777" w:rsidR="00DE2AAE" w:rsidRDefault="00DE2AAE">
      <w:pPr>
        <w:spacing w:line="240" w:lineRule="auto"/>
      </w:pPr>
      <w:r>
        <w:separator/>
      </w:r>
    </w:p>
  </w:footnote>
  <w:footnote w:type="continuationSeparator" w:id="0">
    <w:p w14:paraId="09DEFF01" w14:textId="77777777" w:rsidR="00DE2AAE" w:rsidRDefault="00DE2AAE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1C4E"/>
    <w:rsid w:val="007517B2"/>
    <w:rsid w:val="00971C4E"/>
    <w:rsid w:val="00C96794"/>
    <w:rsid w:val="00DE2A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4F449ECA"/>
  <w15:docId w15:val="{A44A8BE7-B82C-8545-BDD8-211736AF68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1987</Words>
  <Characters>11331</Characters>
  <Application>Microsoft Office Word</Application>
  <DocSecurity>0</DocSecurity>
  <Lines>94</Lines>
  <Paragraphs>26</Paragraphs>
  <ScaleCrop>false</ScaleCrop>
  <Company/>
  <LinksUpToDate>false</LinksUpToDate>
  <CharactersWithSpaces>13292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Daniel Garger</cp:lastModifiedBy>
  <cp:revision>3</cp:revision>
  <dcterms:created xsi:type="dcterms:W3CDTF">2023-08-03T13:15:00Z</dcterms:created>
  <dcterms:modified xsi:type="dcterms:W3CDTF">2023-08-03T13:15:00Z</dcterms:modified>
</cp:coreProperties>
</file>