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0EA0A8" w14:textId="4AB41F25" w:rsidR="008D4700" w:rsidRPr="000642FD" w:rsidRDefault="00B75880" w:rsidP="000642FD">
      <w:pPr>
        <w:spacing w:line="276" w:lineRule="auto"/>
        <w:rPr>
          <w:rFonts w:asciiTheme="majorHAnsi" w:hAnsiTheme="majorHAnsi" w:cstheme="majorHAnsi"/>
          <w:b/>
          <w:bCs/>
          <w:sz w:val="22"/>
          <w:szCs w:val="22"/>
          <w:lang w:val="en-US"/>
        </w:rPr>
      </w:pPr>
      <w:r w:rsidRPr="000642FD">
        <w:rPr>
          <w:rFonts w:asciiTheme="majorHAnsi" w:hAnsiTheme="majorHAnsi" w:cstheme="majorHAnsi"/>
          <w:b/>
          <w:bCs/>
          <w:sz w:val="22"/>
          <w:szCs w:val="22"/>
          <w:lang w:val="en-US"/>
        </w:rPr>
        <w:t>Mouse high-resolution imaging:</w:t>
      </w:r>
    </w:p>
    <w:p w14:paraId="139BE73D" w14:textId="77777777" w:rsidR="00B75880" w:rsidRPr="000642FD" w:rsidRDefault="00B75880" w:rsidP="000642FD">
      <w:pPr>
        <w:widowControl w:val="0"/>
        <w:autoSpaceDE w:val="0"/>
        <w:autoSpaceDN w:val="0"/>
        <w:adjustRightInd w:val="0"/>
        <w:snapToGrid w:val="0"/>
        <w:spacing w:line="276" w:lineRule="auto"/>
        <w:jc w:val="both"/>
        <w:rPr>
          <w:rFonts w:asciiTheme="majorHAnsi" w:hAnsiTheme="majorHAnsi" w:cstheme="majorHAnsi"/>
          <w:sz w:val="22"/>
          <w:szCs w:val="22"/>
          <w:lang w:val="en-US"/>
        </w:rPr>
      </w:pPr>
      <w:r w:rsidRPr="000642FD">
        <w:rPr>
          <w:rFonts w:asciiTheme="majorHAnsi" w:hAnsiTheme="majorHAnsi" w:cstheme="majorHAnsi"/>
          <w:sz w:val="22"/>
          <w:szCs w:val="22"/>
          <w:lang w:val="en-US"/>
        </w:rPr>
        <w:t>Animals underwent an abdominal micro-CT at day 0 – day 3 – day 5 (</w:t>
      </w:r>
      <w:proofErr w:type="spellStart"/>
      <w:r w:rsidRPr="000642FD">
        <w:rPr>
          <w:rFonts w:asciiTheme="majorHAnsi" w:hAnsiTheme="majorHAnsi" w:cstheme="majorHAnsi"/>
          <w:bCs/>
          <w:sz w:val="22"/>
          <w:szCs w:val="22"/>
          <w:lang w:val="en-US"/>
        </w:rPr>
        <w:t>Institut</w:t>
      </w:r>
      <w:proofErr w:type="spellEnd"/>
      <w:r w:rsidRPr="000642FD">
        <w:rPr>
          <w:rFonts w:asciiTheme="majorHAnsi" w:hAnsiTheme="majorHAnsi" w:cstheme="majorHAnsi"/>
          <w:bCs/>
          <w:sz w:val="22"/>
          <w:szCs w:val="22"/>
          <w:lang w:val="en-US"/>
        </w:rPr>
        <w:t xml:space="preserve"> </w:t>
      </w:r>
      <w:proofErr w:type="spellStart"/>
      <w:r w:rsidRPr="000642FD">
        <w:rPr>
          <w:rFonts w:asciiTheme="majorHAnsi" w:hAnsiTheme="majorHAnsi" w:cstheme="majorHAnsi"/>
          <w:bCs/>
          <w:sz w:val="22"/>
          <w:szCs w:val="22"/>
          <w:lang w:val="en-US"/>
        </w:rPr>
        <w:t>Pluridisciplinaire</w:t>
      </w:r>
      <w:proofErr w:type="spellEnd"/>
      <w:r w:rsidRPr="000642FD">
        <w:rPr>
          <w:rFonts w:asciiTheme="majorHAnsi" w:hAnsiTheme="majorHAnsi" w:cstheme="majorHAnsi"/>
          <w:bCs/>
          <w:sz w:val="22"/>
          <w:szCs w:val="22"/>
          <w:lang w:val="en-US"/>
        </w:rPr>
        <w:t xml:space="preserve"> Hubert </w:t>
      </w:r>
      <w:proofErr w:type="spellStart"/>
      <w:r w:rsidRPr="000642FD">
        <w:rPr>
          <w:rFonts w:asciiTheme="majorHAnsi" w:hAnsiTheme="majorHAnsi" w:cstheme="majorHAnsi"/>
          <w:bCs/>
          <w:sz w:val="22"/>
          <w:szCs w:val="22"/>
          <w:lang w:val="en-US"/>
        </w:rPr>
        <w:t>Curien</w:t>
      </w:r>
      <w:proofErr w:type="spellEnd"/>
      <w:r w:rsidRPr="000642FD">
        <w:rPr>
          <w:rFonts w:asciiTheme="majorHAnsi" w:hAnsiTheme="majorHAnsi" w:cstheme="majorHAnsi"/>
          <w:bCs/>
          <w:sz w:val="22"/>
          <w:szCs w:val="22"/>
          <w:lang w:val="en-US"/>
        </w:rPr>
        <w:t xml:space="preserve">). </w:t>
      </w:r>
      <w:r w:rsidRPr="000642FD">
        <w:rPr>
          <w:rFonts w:asciiTheme="majorHAnsi" w:hAnsiTheme="majorHAnsi" w:cstheme="majorHAnsi"/>
          <w:sz w:val="22"/>
          <w:szCs w:val="22"/>
          <w:lang w:val="en-US"/>
        </w:rPr>
        <w:t xml:space="preserve">We also performed, </w:t>
      </w:r>
      <w:r w:rsidRPr="000642FD">
        <w:rPr>
          <w:rFonts w:asciiTheme="majorHAnsi" w:hAnsiTheme="majorHAnsi" w:cstheme="majorHAnsi"/>
          <w:i/>
          <w:iCs/>
          <w:sz w:val="22"/>
          <w:szCs w:val="22"/>
          <w:lang w:val="en-US"/>
        </w:rPr>
        <w:t>ex vivo</w:t>
      </w:r>
      <w:r w:rsidRPr="000642FD">
        <w:rPr>
          <w:rFonts w:asciiTheme="majorHAnsi" w:hAnsiTheme="majorHAnsi" w:cstheme="majorHAnsi"/>
          <w:sz w:val="22"/>
          <w:szCs w:val="22"/>
          <w:lang w:val="en-US"/>
        </w:rPr>
        <w:t xml:space="preserve"> magnetic resonance imaging using a preclinical 9.4T MRI (Bruker </w:t>
      </w:r>
      <w:proofErr w:type="spellStart"/>
      <w:r w:rsidRPr="000642FD">
        <w:rPr>
          <w:rFonts w:asciiTheme="majorHAnsi" w:hAnsiTheme="majorHAnsi" w:cstheme="majorHAnsi"/>
          <w:sz w:val="22"/>
          <w:szCs w:val="22"/>
          <w:lang w:val="en-US"/>
        </w:rPr>
        <w:t>BioSpin</w:t>
      </w:r>
      <w:proofErr w:type="spellEnd"/>
      <w:r w:rsidRPr="000642FD">
        <w:rPr>
          <w:rFonts w:asciiTheme="majorHAnsi" w:hAnsiTheme="majorHAnsi" w:cstheme="majorHAnsi"/>
          <w:sz w:val="22"/>
          <w:szCs w:val="22"/>
          <w:lang w:val="en-US"/>
        </w:rPr>
        <w:t xml:space="preserve"> MRI GmbH, </w:t>
      </w:r>
      <w:proofErr w:type="spellStart"/>
      <w:r w:rsidRPr="000642FD">
        <w:rPr>
          <w:rFonts w:asciiTheme="majorHAnsi" w:hAnsiTheme="majorHAnsi" w:cstheme="majorHAnsi"/>
          <w:sz w:val="22"/>
          <w:szCs w:val="22"/>
          <w:lang w:val="en-US"/>
        </w:rPr>
        <w:t>BioSpec</w:t>
      </w:r>
      <w:proofErr w:type="spellEnd"/>
      <w:r w:rsidRPr="000642FD">
        <w:rPr>
          <w:rFonts w:asciiTheme="majorHAnsi" w:hAnsiTheme="majorHAnsi" w:cstheme="majorHAnsi"/>
          <w:sz w:val="22"/>
          <w:szCs w:val="22"/>
          <w:lang w:val="en-US"/>
        </w:rPr>
        <w:t xml:space="preserve"> 94/20, </w:t>
      </w:r>
      <w:proofErr w:type="spellStart"/>
      <w:r w:rsidRPr="000642FD">
        <w:rPr>
          <w:rFonts w:asciiTheme="majorHAnsi" w:hAnsiTheme="majorHAnsi" w:cstheme="majorHAnsi"/>
          <w:sz w:val="22"/>
          <w:szCs w:val="22"/>
          <w:lang w:val="en-US"/>
        </w:rPr>
        <w:t>Ettlingen</w:t>
      </w:r>
      <w:proofErr w:type="spellEnd"/>
      <w:r w:rsidRPr="000642FD">
        <w:rPr>
          <w:rFonts w:asciiTheme="majorHAnsi" w:hAnsiTheme="majorHAnsi" w:cstheme="majorHAnsi"/>
          <w:sz w:val="22"/>
          <w:szCs w:val="22"/>
          <w:lang w:val="en-US"/>
        </w:rPr>
        <w:t xml:space="preserve">, Germany) and a mouse body-coil. The mice were placed in the coil in dorsal decubitus in a prone position (head first). We performed an axial RARE T2-weighted sequence, with the following parameters: TR = 24ms, TE= 4000ms, average = 1, slice thickness = 0.5mm, FOV = 28 x 28, image size = 128 x 128, excitation angle = 90°, duration 4-5 minutes. Then, we performed a diffusion-EPI sequence with ADC map, using the following parameters: TR = 25.49 </w:t>
      </w:r>
      <w:proofErr w:type="spellStart"/>
      <w:r w:rsidRPr="000642FD">
        <w:rPr>
          <w:rFonts w:asciiTheme="majorHAnsi" w:hAnsiTheme="majorHAnsi" w:cstheme="majorHAnsi"/>
          <w:sz w:val="22"/>
          <w:szCs w:val="22"/>
          <w:lang w:val="en-US"/>
        </w:rPr>
        <w:t>ms</w:t>
      </w:r>
      <w:proofErr w:type="spellEnd"/>
      <w:r w:rsidRPr="000642FD">
        <w:rPr>
          <w:rFonts w:asciiTheme="majorHAnsi" w:hAnsiTheme="majorHAnsi" w:cstheme="majorHAnsi"/>
          <w:sz w:val="22"/>
          <w:szCs w:val="22"/>
          <w:lang w:val="en-US"/>
        </w:rPr>
        <w:t xml:space="preserve">, TE= 3200 </w:t>
      </w:r>
      <w:proofErr w:type="spellStart"/>
      <w:r w:rsidRPr="000642FD">
        <w:rPr>
          <w:rFonts w:asciiTheme="majorHAnsi" w:hAnsiTheme="majorHAnsi" w:cstheme="majorHAnsi"/>
          <w:sz w:val="22"/>
          <w:szCs w:val="22"/>
          <w:lang w:val="en-US"/>
        </w:rPr>
        <w:t>ms</w:t>
      </w:r>
      <w:proofErr w:type="spellEnd"/>
      <w:r w:rsidRPr="000642FD">
        <w:rPr>
          <w:rFonts w:asciiTheme="majorHAnsi" w:hAnsiTheme="majorHAnsi" w:cstheme="majorHAnsi"/>
          <w:sz w:val="22"/>
          <w:szCs w:val="22"/>
          <w:lang w:val="en-US"/>
        </w:rPr>
        <w:t>, average= 1, flip angle = 90°, slice thickness = 1mm, FOV = 28 x 28, image size = 128 x 128, diffusion directions = 1 (b0 – b200 – b 500 – b1000), duration 4-5 minutes. We performed a T1-weighted in / out of phase sequence, using the following parameters: TR = 300ms, TE= 1,43/1,79ms, average= 2, flip angle = 30°, slice thickness = 1mm, FOV = 28, image size = 140x140, duration 1m</w:t>
      </w:r>
      <w:bookmarkStart w:id="0" w:name="_GoBack"/>
      <w:bookmarkEnd w:id="0"/>
      <w:r w:rsidRPr="000642FD">
        <w:rPr>
          <w:rFonts w:asciiTheme="majorHAnsi" w:hAnsiTheme="majorHAnsi" w:cstheme="majorHAnsi"/>
          <w:sz w:val="22"/>
          <w:szCs w:val="22"/>
          <w:lang w:val="en-US"/>
        </w:rPr>
        <w:t xml:space="preserve"> 24 sec. We also performed a T1-weighted sequence (with and without FS), using the following parameters: TR = 300ms, TE= 3ms, average= 2, flip angle = 30°, slice thickness = 1mm, FOV = 28, image size = 140x140, duration 1min 3s.</w:t>
      </w:r>
    </w:p>
    <w:p w14:paraId="5F02BC1E" w14:textId="1162E64A" w:rsidR="00B75880" w:rsidRPr="000642FD" w:rsidRDefault="00B75880" w:rsidP="000642FD">
      <w:pPr>
        <w:widowControl w:val="0"/>
        <w:autoSpaceDE w:val="0"/>
        <w:autoSpaceDN w:val="0"/>
        <w:adjustRightInd w:val="0"/>
        <w:snapToGrid w:val="0"/>
        <w:spacing w:line="276" w:lineRule="auto"/>
        <w:jc w:val="both"/>
        <w:rPr>
          <w:rFonts w:asciiTheme="majorHAnsi" w:hAnsiTheme="majorHAnsi" w:cstheme="majorHAnsi"/>
          <w:sz w:val="22"/>
          <w:szCs w:val="22"/>
          <w:lang w:val="en-US"/>
        </w:rPr>
      </w:pPr>
      <w:r w:rsidRPr="000642FD">
        <w:rPr>
          <w:rFonts w:asciiTheme="majorHAnsi" w:hAnsiTheme="majorHAnsi" w:cstheme="majorHAnsi"/>
          <w:bCs/>
          <w:sz w:val="22"/>
          <w:szCs w:val="22"/>
          <w:lang w:val="en-US"/>
        </w:rPr>
        <w:t xml:space="preserve">Surface measurements of   paravertebral muscles were measured on an axial plane at the level of the renal hilum and signal intensity were measured on the T1-weighted sequences using Region of Interest (ROI) with the free DICOM viewer </w:t>
      </w:r>
      <w:proofErr w:type="spellStart"/>
      <w:r w:rsidRPr="000642FD">
        <w:rPr>
          <w:rFonts w:asciiTheme="majorHAnsi" w:hAnsiTheme="majorHAnsi" w:cstheme="majorHAnsi"/>
          <w:bCs/>
          <w:sz w:val="22"/>
          <w:szCs w:val="22"/>
          <w:lang w:val="en-US"/>
        </w:rPr>
        <w:t>Horos</w:t>
      </w:r>
      <w:proofErr w:type="spellEnd"/>
      <w:r w:rsidRPr="000642FD">
        <w:rPr>
          <w:rFonts w:asciiTheme="majorHAnsi" w:hAnsiTheme="majorHAnsi" w:cstheme="majorHAnsi"/>
          <w:bCs/>
          <w:sz w:val="22"/>
          <w:szCs w:val="22"/>
          <w:lang w:val="en-US"/>
        </w:rPr>
        <w:t xml:space="preserve"> </w:t>
      </w:r>
      <w:r w:rsidRPr="000642FD">
        <w:rPr>
          <w:rFonts w:asciiTheme="majorHAnsi" w:hAnsiTheme="majorHAnsi" w:cstheme="majorHAnsi"/>
          <w:bCs/>
          <w:sz w:val="22"/>
          <w:szCs w:val="22"/>
          <w:vertAlign w:val="superscript"/>
          <w:lang w:val="en-US"/>
        </w:rPr>
        <w:t>TM</w:t>
      </w:r>
      <w:r w:rsidRPr="000642FD">
        <w:rPr>
          <w:rFonts w:asciiTheme="majorHAnsi" w:hAnsiTheme="majorHAnsi" w:cstheme="majorHAnsi"/>
          <w:sz w:val="22"/>
          <w:szCs w:val="22"/>
          <w:vertAlign w:val="subscript"/>
          <w:lang w:val="en-US"/>
        </w:rPr>
        <w:t xml:space="preserve"> </w:t>
      </w:r>
      <w:r w:rsidRPr="000642FD">
        <w:rPr>
          <w:rFonts w:asciiTheme="majorHAnsi" w:hAnsiTheme="majorHAnsi" w:cstheme="majorHAnsi"/>
          <w:sz w:val="22"/>
          <w:szCs w:val="22"/>
          <w:lang w:val="en-US"/>
        </w:rPr>
        <w:t xml:space="preserve">and </w:t>
      </w:r>
      <w:proofErr w:type="spellStart"/>
      <w:r w:rsidRPr="000642FD">
        <w:rPr>
          <w:rFonts w:asciiTheme="majorHAnsi" w:hAnsiTheme="majorHAnsi" w:cstheme="majorHAnsi"/>
          <w:sz w:val="22"/>
          <w:szCs w:val="22"/>
          <w:lang w:val="en-US"/>
        </w:rPr>
        <w:t>Paravison</w:t>
      </w:r>
      <w:proofErr w:type="spellEnd"/>
      <w:r w:rsidRPr="000642FD">
        <w:rPr>
          <w:rFonts w:asciiTheme="majorHAnsi" w:hAnsiTheme="majorHAnsi" w:cstheme="majorHAnsi"/>
          <w:sz w:val="22"/>
          <w:szCs w:val="22"/>
          <w:lang w:val="en-US"/>
        </w:rPr>
        <w:t>® 6.1 software.</w:t>
      </w:r>
    </w:p>
    <w:p w14:paraId="1A296300" w14:textId="62CF4A60" w:rsidR="00DD6968" w:rsidRDefault="00DD6968" w:rsidP="00B75880">
      <w:pPr>
        <w:widowControl w:val="0"/>
        <w:autoSpaceDE w:val="0"/>
        <w:autoSpaceDN w:val="0"/>
        <w:adjustRightInd w:val="0"/>
        <w:snapToGrid w:val="0"/>
        <w:spacing w:before="120" w:line="360" w:lineRule="auto"/>
        <w:jc w:val="both"/>
        <w:rPr>
          <w:rFonts w:ascii="Avenir Next" w:hAnsi="Avenir Next" w:cs="Arial"/>
          <w:sz w:val="20"/>
          <w:szCs w:val="20"/>
          <w:lang w:val="en-US"/>
        </w:rPr>
      </w:pPr>
    </w:p>
    <w:p w14:paraId="341E9E3F" w14:textId="7EDCD81D" w:rsidR="00B40DFB" w:rsidRPr="000642FD" w:rsidRDefault="00B40DFB" w:rsidP="00B40DFB">
      <w:pPr>
        <w:spacing w:before="120" w:line="276" w:lineRule="auto"/>
        <w:jc w:val="both"/>
        <w:rPr>
          <w:rFonts w:asciiTheme="majorHAnsi" w:hAnsiTheme="majorHAnsi"/>
          <w:b/>
          <w:bCs/>
          <w:sz w:val="22"/>
          <w:szCs w:val="22"/>
          <w:lang w:val="en-US"/>
        </w:rPr>
      </w:pPr>
      <w:r w:rsidRPr="000642FD">
        <w:rPr>
          <w:rFonts w:asciiTheme="majorHAnsi" w:hAnsiTheme="majorHAnsi"/>
          <w:b/>
          <w:bCs/>
          <w:sz w:val="22"/>
          <w:szCs w:val="22"/>
          <w:lang w:val="en-US"/>
        </w:rPr>
        <w:t xml:space="preserve">Immunohistochemistry (IHC): </w:t>
      </w:r>
    </w:p>
    <w:p w14:paraId="35FFDF19" w14:textId="439ACE24" w:rsidR="00B40DFB" w:rsidRDefault="006238AC" w:rsidP="006238AC">
      <w:pPr>
        <w:widowControl w:val="0"/>
        <w:autoSpaceDE w:val="0"/>
        <w:autoSpaceDN w:val="0"/>
        <w:adjustRightInd w:val="0"/>
        <w:snapToGrid w:val="0"/>
        <w:spacing w:before="120" w:line="276" w:lineRule="auto"/>
        <w:jc w:val="both"/>
        <w:rPr>
          <w:rFonts w:asciiTheme="majorHAnsi" w:hAnsiTheme="majorHAnsi"/>
          <w:sz w:val="22"/>
          <w:szCs w:val="22"/>
          <w:lang w:val="en-US"/>
        </w:rPr>
      </w:pPr>
      <w:r w:rsidRPr="006238AC">
        <w:rPr>
          <w:rFonts w:asciiTheme="majorHAnsi" w:hAnsiTheme="majorHAnsi"/>
          <w:sz w:val="22"/>
          <w:szCs w:val="22"/>
          <w:lang w:val="en-US"/>
        </w:rPr>
        <w:t xml:space="preserve">IHC analyses were performed on deparaffinized histological tumor slices (5 µm). Unmasking was carried out with </w:t>
      </w:r>
      <w:proofErr w:type="spellStart"/>
      <w:r w:rsidRPr="006238AC">
        <w:rPr>
          <w:rFonts w:asciiTheme="majorHAnsi" w:hAnsiTheme="majorHAnsi"/>
          <w:sz w:val="22"/>
          <w:szCs w:val="22"/>
          <w:lang w:val="en-US"/>
        </w:rPr>
        <w:t>NaCitrate</w:t>
      </w:r>
      <w:proofErr w:type="spellEnd"/>
      <w:r w:rsidRPr="006238AC">
        <w:rPr>
          <w:rFonts w:asciiTheme="majorHAnsi" w:hAnsiTheme="majorHAnsi"/>
          <w:sz w:val="22"/>
          <w:szCs w:val="22"/>
          <w:lang w:val="en-US"/>
        </w:rPr>
        <w:t xml:space="preserve"> in the microwave oven (800 W, 10 min). After washing once with distilled water and once with 1xPBS, the sections were permeabilized with 1xPBS-0.1% Triton for 5 min and the nonspecific sites blocked in PBS-0.1% Triton-5% Normal Goat Serum (NGS) during 60 min. Subsequently, primary antibodies to P53 DO1 (BP53-12, </w:t>
      </w:r>
      <w:proofErr w:type="spellStart"/>
      <w:r w:rsidRPr="006238AC">
        <w:rPr>
          <w:rFonts w:asciiTheme="majorHAnsi" w:hAnsiTheme="majorHAnsi"/>
          <w:sz w:val="22"/>
          <w:szCs w:val="22"/>
          <w:lang w:val="en-US"/>
        </w:rPr>
        <w:t>Zytomed</w:t>
      </w:r>
      <w:proofErr w:type="spellEnd"/>
      <w:r w:rsidRPr="006238AC">
        <w:rPr>
          <w:rFonts w:asciiTheme="majorHAnsi" w:hAnsiTheme="majorHAnsi"/>
          <w:sz w:val="22"/>
          <w:szCs w:val="22"/>
          <w:lang w:val="en-US"/>
        </w:rPr>
        <w:t xml:space="preserve">), P63 (4A4, </w:t>
      </w:r>
      <w:proofErr w:type="spellStart"/>
      <w:r w:rsidRPr="006238AC">
        <w:rPr>
          <w:rFonts w:asciiTheme="majorHAnsi" w:hAnsiTheme="majorHAnsi"/>
          <w:sz w:val="22"/>
          <w:szCs w:val="22"/>
          <w:lang w:val="en-US"/>
        </w:rPr>
        <w:t>Ventana</w:t>
      </w:r>
      <w:proofErr w:type="spellEnd"/>
      <w:r w:rsidRPr="006238AC">
        <w:rPr>
          <w:rFonts w:asciiTheme="majorHAnsi" w:hAnsiTheme="majorHAnsi"/>
          <w:sz w:val="22"/>
          <w:szCs w:val="22"/>
          <w:lang w:val="en-US"/>
        </w:rPr>
        <w:t xml:space="preserve"> 790-4509), PD-L1 (22-C3, </w:t>
      </w:r>
      <w:proofErr w:type="spellStart"/>
      <w:r w:rsidRPr="006238AC">
        <w:rPr>
          <w:rFonts w:asciiTheme="majorHAnsi" w:hAnsiTheme="majorHAnsi"/>
          <w:sz w:val="22"/>
          <w:szCs w:val="22"/>
          <w:lang w:val="en-US"/>
        </w:rPr>
        <w:t>Dako</w:t>
      </w:r>
      <w:proofErr w:type="spellEnd"/>
      <w:r w:rsidRPr="006238AC">
        <w:rPr>
          <w:rFonts w:asciiTheme="majorHAnsi" w:hAnsiTheme="majorHAnsi"/>
          <w:sz w:val="22"/>
          <w:szCs w:val="22"/>
          <w:lang w:val="en-US"/>
        </w:rPr>
        <w:t xml:space="preserve"> M3653), PD-1 (NAT105, Abcam ab52587), CDX2 (EPR2764Y, </w:t>
      </w:r>
      <w:proofErr w:type="spellStart"/>
      <w:r w:rsidRPr="006238AC">
        <w:rPr>
          <w:rFonts w:asciiTheme="majorHAnsi" w:hAnsiTheme="majorHAnsi"/>
          <w:sz w:val="22"/>
          <w:szCs w:val="22"/>
          <w:lang w:val="en-US"/>
        </w:rPr>
        <w:t>diagomic's</w:t>
      </w:r>
      <w:proofErr w:type="spellEnd"/>
      <w:r w:rsidRPr="006238AC">
        <w:rPr>
          <w:rFonts w:asciiTheme="majorHAnsi" w:hAnsiTheme="majorHAnsi"/>
          <w:sz w:val="22"/>
          <w:szCs w:val="22"/>
          <w:lang w:val="en-US"/>
        </w:rPr>
        <w:t xml:space="preserve"> </w:t>
      </w:r>
      <w:proofErr w:type="spellStart"/>
      <w:r w:rsidRPr="006238AC">
        <w:rPr>
          <w:rFonts w:asciiTheme="majorHAnsi" w:hAnsiTheme="majorHAnsi"/>
          <w:sz w:val="22"/>
          <w:szCs w:val="22"/>
          <w:lang w:val="en-US"/>
        </w:rPr>
        <w:t>Zytomed</w:t>
      </w:r>
      <w:proofErr w:type="spellEnd"/>
      <w:r w:rsidRPr="006238AC">
        <w:rPr>
          <w:rFonts w:asciiTheme="majorHAnsi" w:hAnsiTheme="majorHAnsi"/>
          <w:sz w:val="22"/>
          <w:szCs w:val="22"/>
          <w:lang w:val="en-US"/>
        </w:rPr>
        <w:t xml:space="preserve"> RBK012-05), α-smooth muscle actin (1A4, </w:t>
      </w:r>
      <w:proofErr w:type="spellStart"/>
      <w:r w:rsidRPr="006238AC">
        <w:rPr>
          <w:rFonts w:asciiTheme="majorHAnsi" w:hAnsiTheme="majorHAnsi"/>
          <w:sz w:val="22"/>
          <w:szCs w:val="22"/>
          <w:lang w:val="en-US"/>
        </w:rPr>
        <w:t>Dako</w:t>
      </w:r>
      <w:proofErr w:type="spellEnd"/>
      <w:r w:rsidRPr="006238AC">
        <w:rPr>
          <w:rFonts w:asciiTheme="majorHAnsi" w:hAnsiTheme="majorHAnsi"/>
          <w:sz w:val="22"/>
          <w:szCs w:val="22"/>
          <w:lang w:val="en-US"/>
        </w:rPr>
        <w:t xml:space="preserve"> M0851), CD31 (</w:t>
      </w:r>
      <w:proofErr w:type="spellStart"/>
      <w:r w:rsidRPr="006238AC">
        <w:rPr>
          <w:rFonts w:asciiTheme="majorHAnsi" w:hAnsiTheme="majorHAnsi"/>
          <w:sz w:val="22"/>
          <w:szCs w:val="22"/>
          <w:lang w:val="en-US"/>
        </w:rPr>
        <w:t>Microm</w:t>
      </w:r>
      <w:proofErr w:type="spellEnd"/>
      <w:r w:rsidRPr="006238AC">
        <w:rPr>
          <w:rFonts w:asciiTheme="majorHAnsi" w:hAnsiTheme="majorHAnsi"/>
          <w:sz w:val="22"/>
          <w:szCs w:val="22"/>
          <w:lang w:val="en-US"/>
        </w:rPr>
        <w:t xml:space="preserve"> MS Ac-0083), CAIX (Abcam Ab15086), and HER-2 (4B5, Ventana790-4493) were diluted in 1xPBS-0.1% Triton then added to slides overnight at 4°C. After 3 washes with 1xPBS-0.1% Triton, slides were incubated with the secondary antibody (diluted 1:1000 in 1xPBS/5% NGS) specific for the primary antibody for 1 h at room temperature. Slides were mounted with </w:t>
      </w:r>
      <w:proofErr w:type="spellStart"/>
      <w:r w:rsidRPr="006238AC">
        <w:rPr>
          <w:rFonts w:asciiTheme="majorHAnsi" w:hAnsiTheme="majorHAnsi"/>
          <w:sz w:val="22"/>
          <w:szCs w:val="22"/>
          <w:lang w:val="en-US"/>
        </w:rPr>
        <w:t>FluorSafe</w:t>
      </w:r>
      <w:proofErr w:type="spellEnd"/>
      <w:r w:rsidRPr="006238AC">
        <w:rPr>
          <w:rFonts w:asciiTheme="majorHAnsi" w:hAnsiTheme="majorHAnsi"/>
          <w:sz w:val="22"/>
          <w:szCs w:val="22"/>
          <w:lang w:val="en-US"/>
        </w:rPr>
        <w:t xml:space="preserve"> Reagent Mounting Medium (</w:t>
      </w:r>
      <w:proofErr w:type="spellStart"/>
      <w:r w:rsidRPr="006238AC">
        <w:rPr>
          <w:rFonts w:asciiTheme="majorHAnsi" w:hAnsiTheme="majorHAnsi"/>
          <w:sz w:val="22"/>
          <w:szCs w:val="22"/>
          <w:lang w:val="en-US"/>
        </w:rPr>
        <w:t>Calbiochem</w:t>
      </w:r>
      <w:proofErr w:type="spellEnd"/>
      <w:r w:rsidRPr="006238AC">
        <w:rPr>
          <w:rFonts w:asciiTheme="majorHAnsi" w:hAnsiTheme="majorHAnsi"/>
          <w:sz w:val="22"/>
          <w:szCs w:val="22"/>
          <w:lang w:val="en-US"/>
        </w:rPr>
        <w:t>®) and allowed to dry overnight before observation using a fluorescence microscope (</w:t>
      </w:r>
      <w:proofErr w:type="spellStart"/>
      <w:r w:rsidRPr="006238AC">
        <w:rPr>
          <w:rFonts w:asciiTheme="majorHAnsi" w:hAnsiTheme="majorHAnsi"/>
          <w:sz w:val="22"/>
          <w:szCs w:val="22"/>
          <w:lang w:val="en-US"/>
        </w:rPr>
        <w:t>Axio</w:t>
      </w:r>
      <w:proofErr w:type="spellEnd"/>
      <w:r w:rsidRPr="006238AC">
        <w:rPr>
          <w:rFonts w:asciiTheme="majorHAnsi" w:hAnsiTheme="majorHAnsi"/>
          <w:sz w:val="22"/>
          <w:szCs w:val="22"/>
          <w:lang w:val="en-US"/>
        </w:rPr>
        <w:t xml:space="preserve"> Imager 2 - ZEISS). The staining was scored as % of cells showing a positive staining (nuclear for P53, CDX2, P63, membrane for PD-L1 and HER-2, membrane and cytoplasmic for α-actin-smooth-muscle).</w:t>
      </w:r>
    </w:p>
    <w:p w14:paraId="24E3209C" w14:textId="77777777" w:rsidR="006238AC" w:rsidRDefault="006238AC" w:rsidP="006238AC">
      <w:pPr>
        <w:widowControl w:val="0"/>
        <w:autoSpaceDE w:val="0"/>
        <w:autoSpaceDN w:val="0"/>
        <w:adjustRightInd w:val="0"/>
        <w:snapToGrid w:val="0"/>
        <w:spacing w:before="120" w:line="276" w:lineRule="auto"/>
        <w:jc w:val="both"/>
        <w:rPr>
          <w:rFonts w:ascii="Avenir Next" w:hAnsi="Avenir Next" w:cs="Arial"/>
          <w:sz w:val="20"/>
          <w:szCs w:val="20"/>
          <w:lang w:val="en-US"/>
        </w:rPr>
      </w:pPr>
    </w:p>
    <w:p w14:paraId="60A43A68" w14:textId="795BD3A8" w:rsidR="00DB420A" w:rsidRPr="000642FD" w:rsidRDefault="00DB420A" w:rsidP="00DB420A">
      <w:pPr>
        <w:keepNext/>
        <w:spacing w:before="120"/>
        <w:jc w:val="both"/>
        <w:rPr>
          <w:rFonts w:asciiTheme="majorHAnsi" w:hAnsiTheme="majorHAnsi"/>
          <w:b/>
          <w:bCs/>
          <w:sz w:val="22"/>
          <w:szCs w:val="22"/>
          <w:lang w:val="en-US"/>
        </w:rPr>
      </w:pPr>
      <w:r w:rsidRPr="000642FD">
        <w:rPr>
          <w:rFonts w:asciiTheme="majorHAnsi" w:hAnsiTheme="majorHAnsi"/>
          <w:b/>
          <w:bCs/>
          <w:sz w:val="22"/>
          <w:szCs w:val="22"/>
          <w:lang w:val="en-US"/>
        </w:rPr>
        <w:t>Establishment of Patient-Derived xenografts in nude mice (PDX)</w:t>
      </w:r>
      <w:r w:rsidR="000642FD" w:rsidRPr="000642FD">
        <w:rPr>
          <w:rFonts w:asciiTheme="majorHAnsi" w:hAnsiTheme="majorHAnsi"/>
          <w:b/>
          <w:bCs/>
          <w:sz w:val="22"/>
          <w:szCs w:val="22"/>
          <w:lang w:val="en-US"/>
        </w:rPr>
        <w:t>:</w:t>
      </w:r>
      <w:r w:rsidRPr="000642FD">
        <w:rPr>
          <w:rFonts w:asciiTheme="majorHAnsi" w:hAnsiTheme="majorHAnsi"/>
          <w:b/>
          <w:bCs/>
          <w:sz w:val="22"/>
          <w:szCs w:val="22"/>
          <w:lang w:val="en-US"/>
        </w:rPr>
        <w:t xml:space="preserve"> </w:t>
      </w:r>
    </w:p>
    <w:p w14:paraId="176199C0" w14:textId="52D3CF70" w:rsidR="00DB420A" w:rsidRDefault="00DB420A" w:rsidP="000642FD">
      <w:pPr>
        <w:keepNext/>
        <w:spacing w:before="120" w:line="276" w:lineRule="auto"/>
        <w:jc w:val="both"/>
        <w:rPr>
          <w:rFonts w:asciiTheme="majorHAnsi" w:hAnsiTheme="majorHAnsi"/>
          <w:sz w:val="22"/>
          <w:szCs w:val="22"/>
          <w:lang w:val="en-US"/>
        </w:rPr>
      </w:pPr>
      <w:r w:rsidRPr="00162399">
        <w:rPr>
          <w:rFonts w:asciiTheme="majorHAnsi" w:hAnsiTheme="majorHAnsi"/>
          <w:sz w:val="22"/>
          <w:szCs w:val="22"/>
          <w:lang w:val="en-US"/>
        </w:rPr>
        <w:t xml:space="preserve">Use of human tissues was approved by the Ethics board. Patients gave their written consent. All protocols adhered to the Declaration of Helsinki. The prospective clinical and histological data included: age, sex, weight, height, type and histology (Lauren’s classification), TNM stage, treatment, </w:t>
      </w:r>
      <w:proofErr w:type="spellStart"/>
      <w:r w:rsidRPr="00162399">
        <w:rPr>
          <w:rFonts w:asciiTheme="majorHAnsi" w:hAnsiTheme="majorHAnsi"/>
          <w:i/>
          <w:sz w:val="22"/>
          <w:szCs w:val="22"/>
          <w:lang w:val="en-US"/>
        </w:rPr>
        <w:t>p</w:t>
      </w:r>
      <w:r w:rsidRPr="00162399">
        <w:rPr>
          <w:rFonts w:asciiTheme="majorHAnsi" w:hAnsiTheme="majorHAnsi"/>
          <w:sz w:val="22"/>
          <w:szCs w:val="22"/>
          <w:lang w:val="en-US"/>
        </w:rPr>
        <w:t>TNM</w:t>
      </w:r>
      <w:proofErr w:type="spellEnd"/>
      <w:r w:rsidRPr="00162399">
        <w:rPr>
          <w:rFonts w:asciiTheme="majorHAnsi" w:hAnsiTheme="majorHAnsi"/>
          <w:sz w:val="22"/>
          <w:szCs w:val="22"/>
          <w:lang w:val="en-US"/>
        </w:rPr>
        <w:t xml:space="preserve"> after gastrectomy, the occurrence of post-operative complications and the patients’ clinical evolution. The primary tumor fragment used for implantation was issued from either gastric cancer biopsies (2x2 mm) or tumor fragments (4x4 mm) of surgical specimens of gastric adenocarcinomas gathered under sterile conditions, with limited cold ischemic time (&lt;25 min). All animal experiments were approved by </w:t>
      </w:r>
      <w:r>
        <w:rPr>
          <w:rFonts w:asciiTheme="majorHAnsi" w:hAnsiTheme="majorHAnsi"/>
          <w:sz w:val="22"/>
          <w:szCs w:val="22"/>
          <w:lang w:val="en-US"/>
        </w:rPr>
        <w:t>the</w:t>
      </w:r>
      <w:r w:rsidRPr="00162399">
        <w:rPr>
          <w:rFonts w:asciiTheme="majorHAnsi" w:hAnsiTheme="majorHAnsi"/>
          <w:sz w:val="22"/>
          <w:szCs w:val="22"/>
          <w:lang w:val="en-US"/>
        </w:rPr>
        <w:t xml:space="preserve"> Institutional Animal Care and Use Committee (APAFIS#8320). The mice were cared </w:t>
      </w:r>
      <w:r>
        <w:rPr>
          <w:rFonts w:asciiTheme="majorHAnsi" w:hAnsiTheme="majorHAnsi"/>
          <w:sz w:val="22"/>
          <w:szCs w:val="22"/>
          <w:lang w:val="en-US"/>
        </w:rPr>
        <w:t xml:space="preserve">for </w:t>
      </w:r>
      <w:r w:rsidRPr="00162399">
        <w:rPr>
          <w:rFonts w:asciiTheme="majorHAnsi" w:hAnsiTheme="majorHAnsi"/>
          <w:sz w:val="22"/>
          <w:szCs w:val="22"/>
          <w:lang w:val="en-US"/>
        </w:rPr>
        <w:t xml:space="preserve">according to the </w:t>
      </w:r>
      <w:r w:rsidRPr="00162399">
        <w:rPr>
          <w:rFonts w:asciiTheme="majorHAnsi" w:hAnsiTheme="majorHAnsi"/>
          <w:sz w:val="22"/>
          <w:szCs w:val="22"/>
          <w:lang w:val="en-US"/>
        </w:rPr>
        <w:lastRenderedPageBreak/>
        <w:t xml:space="preserve">Institutional Guidelines for Animal Care. Six weeks-old athymic female NUDE mice were acclimated for two weeks, provided with unlimited access to sterilized food and water </w:t>
      </w:r>
      <w:r w:rsidRPr="00162399">
        <w:rPr>
          <w:rFonts w:asciiTheme="majorHAnsi" w:hAnsiTheme="majorHAnsi"/>
          <w:i/>
          <w:sz w:val="22"/>
          <w:szCs w:val="22"/>
          <w:lang w:val="en-US"/>
        </w:rPr>
        <w:t>ad libitum,</w:t>
      </w:r>
      <w:r w:rsidRPr="00162399">
        <w:rPr>
          <w:rFonts w:asciiTheme="majorHAnsi" w:hAnsiTheme="majorHAnsi"/>
          <w:sz w:val="22"/>
          <w:szCs w:val="22"/>
          <w:lang w:val="en-US"/>
        </w:rPr>
        <w:t xml:space="preserve"> and housed with 12h day/night cycle. The primary tumor fragments/biopsies were implanted on the flanks of anaesthetized (Isoflurane®, Abbott GmbH, Wiesbaden, Germany; 2% vaporized in oxygen) NUDE </w:t>
      </w:r>
      <w:r>
        <w:rPr>
          <w:rFonts w:asciiTheme="majorHAnsi" w:hAnsiTheme="majorHAnsi"/>
          <w:sz w:val="22"/>
          <w:szCs w:val="22"/>
          <w:lang w:val="en-US"/>
        </w:rPr>
        <w:t>mice</w:t>
      </w:r>
      <w:r w:rsidRPr="00162399">
        <w:rPr>
          <w:rFonts w:asciiTheme="majorHAnsi" w:hAnsiTheme="majorHAnsi"/>
          <w:sz w:val="22"/>
          <w:szCs w:val="22"/>
          <w:lang w:val="en-US"/>
        </w:rPr>
        <w:t>, with close monitoring of their growth (1-3 times/week by caliper). When the implanted tumor reached 500mm</w:t>
      </w:r>
      <w:r w:rsidRPr="00162399">
        <w:rPr>
          <w:rFonts w:asciiTheme="majorHAnsi" w:hAnsiTheme="majorHAnsi"/>
          <w:sz w:val="22"/>
          <w:szCs w:val="22"/>
          <w:vertAlign w:val="superscript"/>
          <w:lang w:val="en-US"/>
        </w:rPr>
        <w:t>3</w:t>
      </w:r>
      <w:r w:rsidRPr="00162399">
        <w:rPr>
          <w:rFonts w:asciiTheme="majorHAnsi" w:hAnsiTheme="majorHAnsi"/>
          <w:sz w:val="22"/>
          <w:szCs w:val="22"/>
          <w:lang w:val="en-US"/>
        </w:rPr>
        <w:t>, the engraftment was considered successful, the mouse was anaesthetized, and the tumor harvested for serial transplantation into mice. To establish the PDX models, tumor implantations were performed in different generations of mice (passage 1 to passage 10), to verify the reproducibility of the implantation, but also the conservation of the tumor major characteristics (architecture, histology, genetics…) between the serial passages.</w:t>
      </w:r>
    </w:p>
    <w:p w14:paraId="0F2FF693" w14:textId="3E133008" w:rsidR="0041433B" w:rsidRDefault="0041433B" w:rsidP="00DB420A">
      <w:pPr>
        <w:keepNext/>
        <w:spacing w:before="120"/>
        <w:jc w:val="both"/>
        <w:rPr>
          <w:rFonts w:asciiTheme="majorHAnsi" w:hAnsiTheme="majorHAnsi"/>
          <w:sz w:val="22"/>
          <w:szCs w:val="22"/>
          <w:lang w:val="en-US"/>
        </w:rPr>
      </w:pPr>
    </w:p>
    <w:p w14:paraId="5BA271F9" w14:textId="26D34A6B" w:rsidR="0041433B" w:rsidRPr="00C51A3E" w:rsidRDefault="00C51A3E" w:rsidP="00DB420A">
      <w:pPr>
        <w:keepNext/>
        <w:spacing w:before="120"/>
        <w:jc w:val="both"/>
        <w:rPr>
          <w:rFonts w:asciiTheme="majorHAnsi" w:hAnsiTheme="majorHAnsi"/>
          <w:b/>
          <w:bCs/>
          <w:sz w:val="22"/>
          <w:szCs w:val="22"/>
          <w:lang w:val="en-US"/>
        </w:rPr>
      </w:pPr>
      <w:r w:rsidRPr="00C51A3E">
        <w:rPr>
          <w:rFonts w:asciiTheme="majorHAnsi" w:hAnsiTheme="majorHAnsi"/>
          <w:b/>
          <w:bCs/>
          <w:sz w:val="22"/>
          <w:szCs w:val="22"/>
          <w:lang w:val="en-US"/>
        </w:rPr>
        <w:t>Treatment protocol and tumor measurement:</w:t>
      </w:r>
    </w:p>
    <w:p w14:paraId="01267974" w14:textId="0A54CAFD" w:rsidR="0041433B" w:rsidRPr="00C51A3E" w:rsidRDefault="0041433B" w:rsidP="00C51A3E">
      <w:pPr>
        <w:keepNext/>
        <w:spacing w:before="120" w:line="276" w:lineRule="auto"/>
        <w:jc w:val="both"/>
        <w:rPr>
          <w:rFonts w:asciiTheme="majorHAnsi" w:hAnsiTheme="majorHAnsi" w:cstheme="majorHAnsi"/>
          <w:sz w:val="22"/>
          <w:szCs w:val="22"/>
          <w:lang w:val="en-US"/>
        </w:rPr>
      </w:pPr>
      <w:r w:rsidRPr="00C51A3E">
        <w:rPr>
          <w:rFonts w:asciiTheme="majorHAnsi" w:hAnsiTheme="majorHAnsi" w:cstheme="majorHAnsi"/>
          <w:sz w:val="22"/>
          <w:szCs w:val="22"/>
          <w:lang w:val="en-US"/>
        </w:rPr>
        <w:t>For our experiment, tumor fragments (~3mm</w:t>
      </w:r>
      <w:r w:rsidRPr="00C51A3E">
        <w:rPr>
          <w:rFonts w:asciiTheme="majorHAnsi" w:hAnsiTheme="majorHAnsi" w:cstheme="majorHAnsi"/>
          <w:sz w:val="22"/>
          <w:szCs w:val="22"/>
          <w:vertAlign w:val="superscript"/>
          <w:lang w:val="en-US"/>
        </w:rPr>
        <w:t>3</w:t>
      </w:r>
      <w:r w:rsidRPr="00C51A3E">
        <w:rPr>
          <w:rFonts w:asciiTheme="majorHAnsi" w:hAnsiTheme="majorHAnsi" w:cstheme="majorHAnsi"/>
          <w:sz w:val="22"/>
          <w:szCs w:val="22"/>
          <w:lang w:val="en-US"/>
        </w:rPr>
        <w:t xml:space="preserve">) from </w:t>
      </w:r>
      <w:r w:rsidRPr="00C51A3E">
        <w:rPr>
          <w:rFonts w:asciiTheme="majorHAnsi" w:hAnsiTheme="majorHAnsi" w:cstheme="majorHAnsi"/>
          <w:i/>
          <w:sz w:val="22"/>
          <w:szCs w:val="22"/>
          <w:lang w:val="en-US"/>
        </w:rPr>
        <w:t>GCX-004</w:t>
      </w:r>
      <w:r w:rsidRPr="00C51A3E">
        <w:rPr>
          <w:rFonts w:asciiTheme="majorHAnsi" w:hAnsiTheme="majorHAnsi" w:cstheme="majorHAnsi"/>
          <w:sz w:val="22"/>
          <w:szCs w:val="22"/>
          <w:lang w:val="en-US"/>
        </w:rPr>
        <w:t xml:space="preserve"> (passage 8) were implanted subcutaneously on </w:t>
      </w:r>
      <w:r w:rsidR="00C51A3E">
        <w:rPr>
          <w:rFonts w:asciiTheme="majorHAnsi" w:hAnsiTheme="majorHAnsi" w:cstheme="majorHAnsi"/>
          <w:sz w:val="22"/>
          <w:szCs w:val="22"/>
          <w:lang w:val="en-US"/>
        </w:rPr>
        <w:t>both</w:t>
      </w:r>
      <w:r w:rsidRPr="00C51A3E">
        <w:rPr>
          <w:rFonts w:asciiTheme="majorHAnsi" w:hAnsiTheme="majorHAnsi" w:cstheme="majorHAnsi"/>
          <w:sz w:val="22"/>
          <w:szCs w:val="22"/>
          <w:lang w:val="en-US"/>
        </w:rPr>
        <w:t xml:space="preserve"> flanks of </w:t>
      </w:r>
      <w:r w:rsidRPr="00C51A3E">
        <w:rPr>
          <w:rFonts w:asciiTheme="majorHAnsi" w:hAnsiTheme="majorHAnsi" w:cstheme="majorHAnsi"/>
          <w:color w:val="000000" w:themeColor="text1"/>
          <w:sz w:val="22"/>
          <w:szCs w:val="22"/>
          <w:lang w:val="en-US"/>
        </w:rPr>
        <w:t>1</w:t>
      </w:r>
      <w:r w:rsidR="00C51A3E">
        <w:rPr>
          <w:rFonts w:asciiTheme="majorHAnsi" w:hAnsiTheme="majorHAnsi" w:cstheme="majorHAnsi"/>
          <w:color w:val="000000" w:themeColor="text1"/>
          <w:sz w:val="22"/>
          <w:szCs w:val="22"/>
          <w:lang w:val="en-US"/>
        </w:rPr>
        <w:t>2</w:t>
      </w:r>
      <w:r w:rsidRPr="00C51A3E">
        <w:rPr>
          <w:rFonts w:asciiTheme="majorHAnsi" w:hAnsiTheme="majorHAnsi" w:cstheme="majorHAnsi"/>
          <w:color w:val="000000" w:themeColor="text1"/>
          <w:sz w:val="22"/>
          <w:szCs w:val="22"/>
          <w:lang w:val="en-US"/>
        </w:rPr>
        <w:t xml:space="preserve"> NUDE mice, and the mice were </w:t>
      </w:r>
      <w:r w:rsidRPr="00C51A3E">
        <w:rPr>
          <w:rFonts w:asciiTheme="majorHAnsi" w:hAnsiTheme="majorHAnsi" w:cstheme="majorHAnsi"/>
          <w:sz w:val="22"/>
          <w:szCs w:val="22"/>
          <w:lang w:val="en-US"/>
        </w:rPr>
        <w:t xml:space="preserve">split into </w:t>
      </w:r>
      <w:r w:rsidR="00C51A3E">
        <w:rPr>
          <w:rFonts w:asciiTheme="majorHAnsi" w:hAnsiTheme="majorHAnsi" w:cstheme="majorHAnsi"/>
          <w:sz w:val="22"/>
          <w:szCs w:val="22"/>
          <w:lang w:val="en-US"/>
        </w:rPr>
        <w:t>two</w:t>
      </w:r>
      <w:r w:rsidRPr="00C51A3E">
        <w:rPr>
          <w:rFonts w:asciiTheme="majorHAnsi" w:hAnsiTheme="majorHAnsi" w:cstheme="majorHAnsi"/>
          <w:sz w:val="22"/>
          <w:szCs w:val="22"/>
          <w:lang w:val="en-US"/>
        </w:rPr>
        <w:t xml:space="preserve"> groups</w:t>
      </w:r>
      <w:r w:rsidRPr="00C51A3E">
        <w:rPr>
          <w:rFonts w:asciiTheme="majorHAnsi" w:hAnsiTheme="majorHAnsi" w:cstheme="majorHAnsi"/>
          <w:color w:val="000000" w:themeColor="text1"/>
          <w:sz w:val="22"/>
          <w:szCs w:val="22"/>
          <w:lang w:val="en-US"/>
        </w:rPr>
        <w:t xml:space="preserve">. Once the tumors reached </w:t>
      </w:r>
      <w:r w:rsidR="00C51A3E">
        <w:rPr>
          <w:rFonts w:asciiTheme="majorHAnsi" w:hAnsiTheme="majorHAnsi" w:cstheme="majorHAnsi"/>
          <w:color w:val="000000" w:themeColor="text1"/>
          <w:sz w:val="22"/>
          <w:szCs w:val="22"/>
          <w:lang w:val="en-US"/>
        </w:rPr>
        <w:t>50mm</w:t>
      </w:r>
      <w:r w:rsidR="00C51A3E" w:rsidRPr="00C51A3E">
        <w:rPr>
          <w:rFonts w:asciiTheme="majorHAnsi" w:hAnsiTheme="majorHAnsi" w:cstheme="majorHAnsi"/>
          <w:color w:val="000000" w:themeColor="text1"/>
          <w:sz w:val="22"/>
          <w:szCs w:val="22"/>
          <w:vertAlign w:val="superscript"/>
          <w:lang w:val="en-US"/>
        </w:rPr>
        <w:t>3</w:t>
      </w:r>
      <w:r w:rsidRPr="00C51A3E">
        <w:rPr>
          <w:rFonts w:asciiTheme="majorHAnsi" w:hAnsiTheme="majorHAnsi" w:cstheme="majorHAnsi"/>
          <w:color w:val="000000" w:themeColor="text1"/>
          <w:sz w:val="22"/>
          <w:szCs w:val="22"/>
          <w:lang w:val="en-US"/>
        </w:rPr>
        <w:t>, we treated one group (</w:t>
      </w:r>
      <w:r w:rsidRPr="00C51A3E">
        <w:rPr>
          <w:rFonts w:asciiTheme="majorHAnsi" w:hAnsiTheme="majorHAnsi" w:cstheme="majorHAnsi"/>
          <w:i/>
          <w:iCs/>
          <w:color w:val="000000" w:themeColor="text1"/>
          <w:sz w:val="22"/>
          <w:szCs w:val="22"/>
          <w:lang w:val="en-US"/>
        </w:rPr>
        <w:t>n</w:t>
      </w:r>
      <w:r w:rsidRPr="00C51A3E">
        <w:rPr>
          <w:rFonts w:asciiTheme="majorHAnsi" w:hAnsiTheme="majorHAnsi" w:cstheme="majorHAnsi"/>
          <w:color w:val="000000" w:themeColor="text1"/>
          <w:sz w:val="22"/>
          <w:szCs w:val="22"/>
          <w:lang w:val="en-US"/>
        </w:rPr>
        <w:t xml:space="preserve">=6) with </w:t>
      </w:r>
      <w:r w:rsidRPr="00C51A3E">
        <w:rPr>
          <w:rFonts w:asciiTheme="majorHAnsi" w:hAnsiTheme="majorHAnsi" w:cstheme="majorHAnsi"/>
          <w:sz w:val="22"/>
          <w:szCs w:val="22"/>
          <w:lang w:val="en-US"/>
        </w:rPr>
        <w:t>cisplatin (5mg/kg body weight</w:t>
      </w:r>
      <w:r w:rsidR="00C51A3E">
        <w:rPr>
          <w:rFonts w:asciiTheme="majorHAnsi" w:hAnsiTheme="majorHAnsi" w:cstheme="majorHAnsi"/>
          <w:sz w:val="22"/>
          <w:szCs w:val="22"/>
          <w:lang w:val="en-US"/>
        </w:rPr>
        <w:t xml:space="preserve"> </w:t>
      </w:r>
      <w:r w:rsidRPr="00C51A3E">
        <w:rPr>
          <w:rFonts w:asciiTheme="majorHAnsi" w:hAnsiTheme="majorHAnsi" w:cstheme="majorHAnsi"/>
          <w:sz w:val="22"/>
          <w:szCs w:val="22"/>
          <w:lang w:val="en-US"/>
        </w:rPr>
        <w:t>and the control group (n=6) with DMSO-PBS-</w:t>
      </w:r>
      <w:proofErr w:type="spellStart"/>
      <w:r w:rsidRPr="00C51A3E">
        <w:rPr>
          <w:rFonts w:asciiTheme="majorHAnsi" w:hAnsiTheme="majorHAnsi" w:cstheme="majorHAnsi"/>
          <w:sz w:val="22"/>
          <w:szCs w:val="22"/>
          <w:lang w:val="en-US"/>
        </w:rPr>
        <w:t>cremofor</w:t>
      </w:r>
      <w:proofErr w:type="spellEnd"/>
      <w:r w:rsidRPr="00C51A3E">
        <w:rPr>
          <w:rFonts w:asciiTheme="majorHAnsi" w:hAnsiTheme="majorHAnsi" w:cstheme="majorHAnsi"/>
          <w:sz w:val="22"/>
          <w:szCs w:val="22"/>
          <w:lang w:val="en-US"/>
        </w:rPr>
        <w:t xml:space="preserve">. Tumor volume was measured </w:t>
      </w:r>
      <w:r w:rsidR="00C51A3E">
        <w:rPr>
          <w:rFonts w:asciiTheme="majorHAnsi" w:hAnsiTheme="majorHAnsi" w:cstheme="majorHAnsi"/>
          <w:sz w:val="22"/>
          <w:szCs w:val="22"/>
          <w:lang w:val="en-US"/>
        </w:rPr>
        <w:t>after 23 days</w:t>
      </w:r>
      <w:r w:rsidRPr="00C51A3E">
        <w:rPr>
          <w:rFonts w:asciiTheme="majorHAnsi" w:hAnsiTheme="majorHAnsi" w:cstheme="majorHAnsi"/>
          <w:sz w:val="22"/>
          <w:szCs w:val="22"/>
          <w:lang w:val="en-US"/>
        </w:rPr>
        <w:t xml:space="preserve"> by caliper</w:t>
      </w:r>
      <w:r w:rsidR="00C51A3E">
        <w:rPr>
          <w:rFonts w:asciiTheme="majorHAnsi" w:hAnsiTheme="majorHAnsi" w:cstheme="majorHAnsi"/>
          <w:sz w:val="22"/>
          <w:szCs w:val="22"/>
          <w:lang w:val="en-US"/>
        </w:rPr>
        <w:t>.</w:t>
      </w:r>
      <w:r w:rsidRPr="00C51A3E">
        <w:rPr>
          <w:rFonts w:asciiTheme="majorHAnsi" w:hAnsiTheme="majorHAnsi" w:cstheme="majorHAnsi"/>
          <w:sz w:val="22"/>
          <w:szCs w:val="22"/>
          <w:lang w:val="en-US"/>
        </w:rPr>
        <w:t xml:space="preserve"> </w:t>
      </w:r>
      <w:r w:rsidRPr="0041433B">
        <w:rPr>
          <w:rFonts w:asciiTheme="majorHAnsi" w:hAnsiTheme="majorHAnsi"/>
          <w:sz w:val="22"/>
          <w:szCs w:val="22"/>
          <w:lang w:val="en-US"/>
        </w:rPr>
        <w:t>For caliper measurements, the thickness of the tumor was extrapolated from the width measure. The volume was calculated as V= (length x width) 2/2</w:t>
      </w:r>
    </w:p>
    <w:p w14:paraId="69D7B732" w14:textId="77777777" w:rsidR="00B75880" w:rsidRPr="00DB420A" w:rsidRDefault="00B75880">
      <w:pPr>
        <w:rPr>
          <w:lang w:val="en-US"/>
        </w:rPr>
      </w:pPr>
    </w:p>
    <w:sectPr w:rsidR="00B75880" w:rsidRPr="00DB420A" w:rsidSect="00AC0FE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venir Next">
    <w:altName w:val="Corbel"/>
    <w:charset w:val="00"/>
    <w:family w:val="swiss"/>
    <w:pitch w:val="variable"/>
    <w:sig w:usb0="00000001" w:usb1="5000204A" w:usb2="00000000" w:usb3="00000000" w:csb0="0000009B"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0FB7"/>
    <w:rsid w:val="0003196A"/>
    <w:rsid w:val="000642FD"/>
    <w:rsid w:val="0014238F"/>
    <w:rsid w:val="001D2539"/>
    <w:rsid w:val="0028302E"/>
    <w:rsid w:val="00392828"/>
    <w:rsid w:val="0041433B"/>
    <w:rsid w:val="00582475"/>
    <w:rsid w:val="005E1E31"/>
    <w:rsid w:val="00606E97"/>
    <w:rsid w:val="006238AC"/>
    <w:rsid w:val="008D4700"/>
    <w:rsid w:val="00A45C5B"/>
    <w:rsid w:val="00A46974"/>
    <w:rsid w:val="00A46A36"/>
    <w:rsid w:val="00AC0FEB"/>
    <w:rsid w:val="00B40DFB"/>
    <w:rsid w:val="00B75880"/>
    <w:rsid w:val="00BB113F"/>
    <w:rsid w:val="00C51A3E"/>
    <w:rsid w:val="00DB420A"/>
    <w:rsid w:val="00DD6968"/>
    <w:rsid w:val="00E62A2D"/>
    <w:rsid w:val="00ED1470"/>
    <w:rsid w:val="00FA0FB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7E61B4"/>
  <w15:chartTrackingRefBased/>
  <w15:docId w15:val="{7EA6E1C3-F80F-8244-9B3A-0101ECE39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795</Words>
  <Characters>4535</Characters>
  <Application>Microsoft Office Word</Application>
  <DocSecurity>0</DocSecurity>
  <Lines>37</Lines>
  <Paragraphs>10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5320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Arun Madhavan</cp:lastModifiedBy>
  <cp:revision>3</cp:revision>
  <dcterms:created xsi:type="dcterms:W3CDTF">2022-12-10T11:12:00Z</dcterms:created>
  <dcterms:modified xsi:type="dcterms:W3CDTF">2022-12-10T11:12:00Z</dcterms:modified>
</cp:coreProperties>
</file>