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36BA9" w14:textId="77777777" w:rsidR="00F93735" w:rsidRPr="00F93735" w:rsidRDefault="008F2592" w:rsidP="00450804">
      <w:pPr>
        <w:pStyle w:val="KeinLeerraum"/>
        <w:spacing w:line="480" w:lineRule="auto"/>
        <w:jc w:val="both"/>
        <w:rPr>
          <w:b/>
          <w:sz w:val="24"/>
          <w:szCs w:val="20"/>
          <w:lang w:val="en-US"/>
        </w:rPr>
      </w:pPr>
      <w:r>
        <w:rPr>
          <w:b/>
          <w:sz w:val="24"/>
          <w:szCs w:val="20"/>
          <w:lang w:val="en-US"/>
        </w:rPr>
        <w:t>Supplement</w:t>
      </w:r>
    </w:p>
    <w:p w14:paraId="2DD5F143" w14:textId="77777777" w:rsidR="00F93735" w:rsidRPr="00F93735" w:rsidRDefault="00F93735" w:rsidP="00450804">
      <w:pPr>
        <w:pStyle w:val="KeinLeerraum"/>
        <w:spacing w:line="480" w:lineRule="auto"/>
        <w:jc w:val="both"/>
        <w:rPr>
          <w:iCs/>
          <w:u w:val="single"/>
          <w:lang w:val="en-US"/>
        </w:rPr>
      </w:pPr>
      <w:r w:rsidRPr="00F93735">
        <w:rPr>
          <w:iCs/>
          <w:u w:val="single"/>
          <w:lang w:val="en-US"/>
        </w:rPr>
        <w:t>Predictors of left atrial PN capture</w:t>
      </w:r>
      <w:r w:rsidR="008F2592">
        <w:rPr>
          <w:iCs/>
          <w:u w:val="single"/>
          <w:lang w:val="en-US"/>
        </w:rPr>
        <w:t xml:space="preserve"> in RSPV antrum</w:t>
      </w:r>
    </w:p>
    <w:p w14:paraId="03955A08" w14:textId="77777777" w:rsidR="00F93735" w:rsidRPr="00F93735" w:rsidRDefault="00F93735" w:rsidP="008F2592">
      <w:pPr>
        <w:pStyle w:val="KeinLeerraum"/>
        <w:spacing w:line="480" w:lineRule="auto"/>
        <w:jc w:val="both"/>
        <w:rPr>
          <w:lang w:val="en-US"/>
        </w:rPr>
      </w:pPr>
      <w:r w:rsidRPr="00F93735">
        <w:rPr>
          <w:lang w:val="en-US"/>
        </w:rPr>
        <w:t>The only anatomical feature predicting the course of the right PN extending in to the RSPV antrum was the course of the right PN in the SVC and RA (Suppl. Table 1). A posterolateral course of the PN in the SVC and upper RA showed a significant association with PNC in the RSPV antrum</w:t>
      </w:r>
      <w:r w:rsidR="008F2592">
        <w:rPr>
          <w:lang w:val="en-US"/>
        </w:rPr>
        <w:t xml:space="preserve"> (SVC: </w:t>
      </w:r>
      <w:r w:rsidR="008F2592" w:rsidRPr="008F2592">
        <w:rPr>
          <w:rFonts w:ascii="Calibri" w:eastAsia="Times New Roman" w:hAnsi="Calibri" w:cs="Calibri"/>
          <w:bCs/>
          <w:color w:val="000000"/>
          <w:lang w:val="en-US" w:eastAsia="de-DE"/>
        </w:rPr>
        <w:t xml:space="preserve">31% PNC in RSPV </w:t>
      </w:r>
      <w:r w:rsidR="008F2592" w:rsidRPr="008F2592">
        <w:rPr>
          <w:lang w:val="en-US"/>
        </w:rPr>
        <w:t xml:space="preserve">antrum, </w:t>
      </w:r>
      <w:r w:rsidR="008F2592">
        <w:rPr>
          <w:lang w:val="en-US"/>
        </w:rPr>
        <w:t>p=</w:t>
      </w:r>
      <w:r w:rsidR="008F2592" w:rsidRPr="008F2592">
        <w:rPr>
          <w:lang w:val="en-US"/>
        </w:rPr>
        <w:t>0,038</w:t>
      </w:r>
      <w:r w:rsidR="008F2592">
        <w:rPr>
          <w:lang w:val="en-US"/>
        </w:rPr>
        <w:t>;</w:t>
      </w:r>
      <w:r w:rsidRPr="00F93735">
        <w:rPr>
          <w:lang w:val="en-US"/>
        </w:rPr>
        <w:t xml:space="preserve"> </w:t>
      </w:r>
      <w:r w:rsidR="008F2592">
        <w:rPr>
          <w:lang w:val="en-US"/>
        </w:rPr>
        <w:t xml:space="preserve">Upper RA: </w:t>
      </w:r>
      <w:r w:rsidR="008F2592" w:rsidRPr="008F2592">
        <w:rPr>
          <w:lang w:val="en-US"/>
        </w:rPr>
        <w:t>41% PNC in RSPV antrum, p=0,002)</w:t>
      </w:r>
      <w:r w:rsidR="008F2592">
        <w:rPr>
          <w:lang w:val="en-US"/>
        </w:rPr>
        <w:t>.</w:t>
      </w:r>
      <w:r w:rsidR="008F2592" w:rsidRPr="008F2592">
        <w:rPr>
          <w:lang w:val="en-US"/>
        </w:rPr>
        <w:t xml:space="preserve"> </w:t>
      </w:r>
      <w:r w:rsidR="008F2592">
        <w:rPr>
          <w:lang w:val="en-US"/>
        </w:rPr>
        <w:t>On the other hand,</w:t>
      </w:r>
      <w:r w:rsidRPr="00F93735">
        <w:rPr>
          <w:lang w:val="en-US"/>
        </w:rPr>
        <w:t xml:space="preserve"> an anterolateral course of the PN in the SVC was significantly associated with absence of PNC in the RSPV antrum</w:t>
      </w:r>
      <w:r w:rsidR="008F2592">
        <w:rPr>
          <w:lang w:val="en-US"/>
        </w:rPr>
        <w:t xml:space="preserve"> (</w:t>
      </w:r>
      <w:r w:rsidR="008F2592" w:rsidRPr="008F2592">
        <w:rPr>
          <w:lang w:val="en-US"/>
        </w:rPr>
        <w:t>100</w:t>
      </w:r>
      <w:r w:rsidR="008F2592">
        <w:rPr>
          <w:lang w:val="en-US"/>
        </w:rPr>
        <w:t xml:space="preserve"> </w:t>
      </w:r>
      <w:r w:rsidR="008F2592" w:rsidRPr="008F2592">
        <w:rPr>
          <w:lang w:val="en-US"/>
        </w:rPr>
        <w:t>%</w:t>
      </w:r>
      <w:r w:rsidR="008F2592">
        <w:rPr>
          <w:lang w:val="en-US"/>
        </w:rPr>
        <w:t xml:space="preserve"> of patients having no PNC in the RSPV antrum, p=</w:t>
      </w:r>
      <w:r w:rsidR="008F2592" w:rsidRPr="008F2592">
        <w:rPr>
          <w:lang w:val="en-US"/>
        </w:rPr>
        <w:t>0,024</w:t>
      </w:r>
      <w:r w:rsidR="008F2592">
        <w:rPr>
          <w:lang w:val="en-US"/>
        </w:rPr>
        <w:t>)</w:t>
      </w:r>
      <w:r w:rsidRPr="00F93735">
        <w:rPr>
          <w:lang w:val="en-US"/>
        </w:rPr>
        <w:t>.</w:t>
      </w:r>
    </w:p>
    <w:p w14:paraId="13AB8B59" w14:textId="77777777" w:rsidR="00F93735" w:rsidRPr="00F93735" w:rsidRDefault="00F93735" w:rsidP="00B43317">
      <w:pPr>
        <w:pStyle w:val="KeinLeerraum"/>
        <w:spacing w:line="480" w:lineRule="auto"/>
        <w:jc w:val="both"/>
        <w:rPr>
          <w:lang w:val="en-US"/>
        </w:rPr>
      </w:pPr>
      <w:r w:rsidRPr="00F93735">
        <w:rPr>
          <w:lang w:val="en-US"/>
        </w:rPr>
        <w:t>Clinical parameters (e.g., BMI: 29 ± 4 kg/m² for no PNC in RSPV antrum vs. 28 ± 5 kg/m² for PNC in the RSPV antrum; p=0,134) as well as other anatomical parameters (e.g., LA size: 43 ± 4 vs. 42 ± 6 mm; p=0,291) did not predict PNC in the RSPV antrum.</w:t>
      </w:r>
    </w:p>
    <w:p w14:paraId="75A3339C" w14:textId="461582FC" w:rsidR="00E65078" w:rsidRDefault="00F93735" w:rsidP="00B43317">
      <w:pPr>
        <w:pStyle w:val="KeinLeerraum"/>
        <w:spacing w:line="480" w:lineRule="auto"/>
        <w:jc w:val="both"/>
        <w:rPr>
          <w:lang w:val="en-US"/>
        </w:rPr>
      </w:pPr>
      <w:r w:rsidRPr="00F93735">
        <w:rPr>
          <w:lang w:val="en-US"/>
        </w:rPr>
        <w:t xml:space="preserve">However, for everyday clinical practice, we suggest circumscribed screening for PNC at the most common location, which is in the anterior and inferior RSPV antrum. Detailed PN mapping in the RA would be too time-consuming and was performed for the purpose of this study to put the PN course in both atria into perspective. </w:t>
      </w:r>
    </w:p>
    <w:p w14:paraId="438398BA" w14:textId="77777777" w:rsidR="00E65078" w:rsidRDefault="00E65078">
      <w:pPr>
        <w:rPr>
          <w:lang w:val="en-US"/>
        </w:rPr>
      </w:pPr>
      <w:r>
        <w:rPr>
          <w:lang w:val="en-US"/>
        </w:rPr>
        <w:br w:type="page"/>
      </w:r>
    </w:p>
    <w:p w14:paraId="47531085" w14:textId="644B3283" w:rsidR="00E65078" w:rsidRDefault="00E65078" w:rsidP="00E65078">
      <w:pPr>
        <w:pStyle w:val="KeinLeerraum"/>
        <w:spacing w:line="480" w:lineRule="auto"/>
        <w:jc w:val="both"/>
        <w:rPr>
          <w:rFonts w:ascii="Calibri" w:eastAsia="Times New Roman" w:hAnsi="Calibri" w:cs="Calibri"/>
          <w:b/>
          <w:bCs/>
          <w:color w:val="000000"/>
          <w:u w:val="single"/>
          <w:lang w:val="en-US" w:eastAsia="de-DE"/>
        </w:rPr>
      </w:pPr>
      <w:r w:rsidRPr="008F2592">
        <w:rPr>
          <w:rFonts w:ascii="Calibri" w:eastAsia="Times New Roman" w:hAnsi="Calibri" w:cs="Calibri"/>
          <w:b/>
          <w:bCs/>
          <w:color w:val="000000"/>
          <w:u w:val="single"/>
          <w:lang w:val="en-US" w:eastAsia="de-DE"/>
        </w:rPr>
        <w:lastRenderedPageBreak/>
        <w:t>Suppl</w:t>
      </w:r>
      <w:r w:rsidR="00E51563">
        <w:rPr>
          <w:rFonts w:ascii="Calibri" w:eastAsia="Times New Roman" w:hAnsi="Calibri" w:cs="Calibri"/>
          <w:b/>
          <w:bCs/>
          <w:color w:val="000000"/>
          <w:u w:val="single"/>
          <w:lang w:val="en-US" w:eastAsia="de-DE"/>
        </w:rPr>
        <w:t>emental</w:t>
      </w:r>
      <w:r w:rsidRPr="008F2592">
        <w:rPr>
          <w:rFonts w:ascii="Calibri" w:eastAsia="Times New Roman" w:hAnsi="Calibri" w:cs="Calibri"/>
          <w:b/>
          <w:bCs/>
          <w:color w:val="000000"/>
          <w:u w:val="single"/>
          <w:lang w:val="en-US" w:eastAsia="de-DE"/>
        </w:rPr>
        <w:t xml:space="preserve"> Table 1: Right atrial PNC predicting PNC in RSPV antrum, n=137</w:t>
      </w:r>
    </w:p>
    <w:tbl>
      <w:tblPr>
        <w:tblW w:w="8080" w:type="dxa"/>
        <w:tblLayout w:type="fixed"/>
        <w:tblCellMar>
          <w:left w:w="70" w:type="dxa"/>
          <w:right w:w="70" w:type="dxa"/>
        </w:tblCellMar>
        <w:tblLook w:val="04A0" w:firstRow="1" w:lastRow="0" w:firstColumn="1" w:lastColumn="0" w:noHBand="0" w:noVBand="1"/>
      </w:tblPr>
      <w:tblGrid>
        <w:gridCol w:w="3828"/>
        <w:gridCol w:w="708"/>
        <w:gridCol w:w="732"/>
        <w:gridCol w:w="160"/>
        <w:gridCol w:w="809"/>
        <w:gridCol w:w="851"/>
        <w:gridCol w:w="992"/>
      </w:tblGrid>
      <w:tr w:rsidR="00E65078" w:rsidRPr="00E65078" w14:paraId="7378B0A4" w14:textId="77777777" w:rsidTr="00FD6069">
        <w:trPr>
          <w:trHeight w:val="315"/>
        </w:trPr>
        <w:tc>
          <w:tcPr>
            <w:tcW w:w="3828" w:type="dxa"/>
            <w:tcBorders>
              <w:top w:val="single" w:sz="4" w:space="0" w:color="auto"/>
              <w:left w:val="nil"/>
              <w:bottom w:val="nil"/>
              <w:right w:val="nil"/>
            </w:tcBorders>
            <w:shd w:val="clear" w:color="auto" w:fill="F2F2F2" w:themeFill="background1" w:themeFillShade="F2"/>
            <w:noWrap/>
            <w:vAlign w:val="center"/>
            <w:hideMark/>
          </w:tcPr>
          <w:p w14:paraId="563A8602" w14:textId="77777777" w:rsidR="00E65078" w:rsidRPr="00E40305" w:rsidRDefault="00E65078" w:rsidP="00E65078">
            <w:pPr>
              <w:spacing w:after="0" w:line="480" w:lineRule="auto"/>
              <w:jc w:val="center"/>
              <w:rPr>
                <w:rFonts w:ascii="Times New Roman" w:eastAsia="Times New Roman" w:hAnsi="Times New Roman" w:cs="Times New Roman"/>
                <w:i/>
                <w:iCs/>
                <w:lang w:val="en-US" w:eastAsia="de-DE"/>
              </w:rPr>
            </w:pPr>
          </w:p>
        </w:tc>
        <w:tc>
          <w:tcPr>
            <w:tcW w:w="1440" w:type="dxa"/>
            <w:gridSpan w:val="2"/>
            <w:vMerge w:val="restart"/>
            <w:tcBorders>
              <w:top w:val="single" w:sz="4" w:space="0" w:color="auto"/>
              <w:left w:val="nil"/>
              <w:right w:val="nil"/>
            </w:tcBorders>
            <w:shd w:val="clear" w:color="auto" w:fill="F2F2F2" w:themeFill="background1" w:themeFillShade="F2"/>
            <w:noWrap/>
            <w:vAlign w:val="center"/>
            <w:hideMark/>
          </w:tcPr>
          <w:p w14:paraId="33C30BB5" w14:textId="77777777" w:rsidR="00E65078" w:rsidRPr="00E40305" w:rsidRDefault="00E65078" w:rsidP="00E65078">
            <w:pPr>
              <w:spacing w:after="0" w:line="480" w:lineRule="auto"/>
              <w:jc w:val="center"/>
              <w:rPr>
                <w:rFonts w:ascii="Calibri" w:eastAsia="Times New Roman" w:hAnsi="Calibri" w:cs="Calibri"/>
                <w:i/>
                <w:iCs/>
                <w:color w:val="000000"/>
                <w:lang w:val="en-US" w:eastAsia="de-DE"/>
              </w:rPr>
            </w:pPr>
            <w:r w:rsidRPr="00E40305">
              <w:rPr>
                <w:rFonts w:ascii="Calibri" w:eastAsia="Times New Roman" w:hAnsi="Calibri" w:cs="Calibri"/>
                <w:i/>
                <w:iCs/>
                <w:color w:val="000000"/>
                <w:lang w:val="en-US" w:eastAsia="de-DE"/>
              </w:rPr>
              <w:t>PNC in</w:t>
            </w:r>
          </w:p>
          <w:p w14:paraId="496262D3" w14:textId="5CA4DC1E" w:rsidR="00E65078" w:rsidRPr="00E40305" w:rsidRDefault="00E65078" w:rsidP="00E65078">
            <w:pPr>
              <w:spacing w:after="0" w:line="480" w:lineRule="auto"/>
              <w:jc w:val="center"/>
              <w:rPr>
                <w:rFonts w:ascii="Calibri" w:eastAsia="Times New Roman" w:hAnsi="Calibri" w:cs="Calibri"/>
                <w:i/>
                <w:iCs/>
                <w:color w:val="000000"/>
                <w:lang w:val="en-US" w:eastAsia="de-DE"/>
              </w:rPr>
            </w:pPr>
            <w:r w:rsidRPr="00E40305">
              <w:rPr>
                <w:rFonts w:ascii="Calibri" w:eastAsia="Times New Roman" w:hAnsi="Calibri" w:cs="Calibri"/>
                <w:i/>
                <w:iCs/>
                <w:color w:val="000000"/>
                <w:lang w:val="en-US" w:eastAsia="de-DE"/>
              </w:rPr>
              <w:t>RSPV antrum</w:t>
            </w:r>
          </w:p>
        </w:tc>
        <w:tc>
          <w:tcPr>
            <w:tcW w:w="160" w:type="dxa"/>
            <w:tcBorders>
              <w:top w:val="single" w:sz="4" w:space="0" w:color="auto"/>
              <w:left w:val="nil"/>
              <w:bottom w:val="nil"/>
              <w:right w:val="nil"/>
            </w:tcBorders>
            <w:shd w:val="clear" w:color="auto" w:fill="F2F2F2" w:themeFill="background1" w:themeFillShade="F2"/>
            <w:noWrap/>
            <w:vAlign w:val="center"/>
            <w:hideMark/>
          </w:tcPr>
          <w:p w14:paraId="5E76193C" w14:textId="77777777" w:rsidR="00E65078" w:rsidRPr="00E40305" w:rsidRDefault="00E65078" w:rsidP="00E65078">
            <w:pPr>
              <w:spacing w:after="0" w:line="480" w:lineRule="auto"/>
              <w:rPr>
                <w:rFonts w:ascii="Times New Roman" w:eastAsia="Times New Roman" w:hAnsi="Times New Roman" w:cs="Times New Roman"/>
                <w:i/>
                <w:iCs/>
                <w:lang w:val="en-US" w:eastAsia="de-DE"/>
              </w:rPr>
            </w:pPr>
          </w:p>
        </w:tc>
        <w:tc>
          <w:tcPr>
            <w:tcW w:w="1660" w:type="dxa"/>
            <w:gridSpan w:val="2"/>
            <w:vMerge w:val="restart"/>
            <w:tcBorders>
              <w:top w:val="single" w:sz="4" w:space="0" w:color="auto"/>
              <w:left w:val="nil"/>
              <w:right w:val="nil"/>
            </w:tcBorders>
            <w:shd w:val="clear" w:color="auto" w:fill="F2F2F2" w:themeFill="background1" w:themeFillShade="F2"/>
            <w:noWrap/>
            <w:vAlign w:val="center"/>
            <w:hideMark/>
          </w:tcPr>
          <w:p w14:paraId="138F1996" w14:textId="77777777" w:rsidR="00E65078" w:rsidRPr="00E40305" w:rsidRDefault="00E65078" w:rsidP="00E65078">
            <w:pPr>
              <w:spacing w:after="0" w:line="480" w:lineRule="auto"/>
              <w:jc w:val="center"/>
              <w:rPr>
                <w:rFonts w:ascii="Calibri" w:eastAsia="Times New Roman" w:hAnsi="Calibri" w:cs="Calibri"/>
                <w:i/>
                <w:iCs/>
                <w:color w:val="000000"/>
                <w:lang w:val="en-US" w:eastAsia="de-DE"/>
              </w:rPr>
            </w:pPr>
            <w:r w:rsidRPr="00E40305">
              <w:rPr>
                <w:rFonts w:ascii="Calibri" w:eastAsia="Times New Roman" w:hAnsi="Calibri" w:cs="Calibri"/>
                <w:i/>
                <w:iCs/>
                <w:color w:val="000000"/>
                <w:lang w:val="en-US" w:eastAsia="de-DE"/>
              </w:rPr>
              <w:t>No PNC in</w:t>
            </w:r>
          </w:p>
          <w:p w14:paraId="32F351F7" w14:textId="73D55A91" w:rsidR="00E65078" w:rsidRPr="00E40305" w:rsidRDefault="00E65078" w:rsidP="00E65078">
            <w:pPr>
              <w:spacing w:after="0" w:line="480" w:lineRule="auto"/>
              <w:jc w:val="center"/>
              <w:rPr>
                <w:rFonts w:ascii="Calibri" w:eastAsia="Times New Roman" w:hAnsi="Calibri" w:cs="Calibri"/>
                <w:i/>
                <w:iCs/>
                <w:color w:val="000000"/>
                <w:lang w:val="en-US" w:eastAsia="de-DE"/>
              </w:rPr>
            </w:pPr>
            <w:r w:rsidRPr="00E40305">
              <w:rPr>
                <w:rFonts w:ascii="Calibri" w:eastAsia="Times New Roman" w:hAnsi="Calibri" w:cs="Calibri"/>
                <w:i/>
                <w:iCs/>
                <w:color w:val="000000"/>
                <w:lang w:val="en-US" w:eastAsia="de-DE"/>
              </w:rPr>
              <w:t>RSPV antrum</w:t>
            </w:r>
          </w:p>
        </w:tc>
        <w:tc>
          <w:tcPr>
            <w:tcW w:w="992" w:type="dxa"/>
            <w:vMerge w:val="restart"/>
            <w:tcBorders>
              <w:top w:val="single" w:sz="4" w:space="0" w:color="auto"/>
              <w:left w:val="nil"/>
              <w:right w:val="nil"/>
            </w:tcBorders>
            <w:shd w:val="clear" w:color="auto" w:fill="F2F2F2" w:themeFill="background1" w:themeFillShade="F2"/>
            <w:noWrap/>
            <w:vAlign w:val="center"/>
            <w:hideMark/>
          </w:tcPr>
          <w:p w14:paraId="3B9C3A63" w14:textId="7ED1582E" w:rsidR="00E65078" w:rsidRPr="00E40305" w:rsidRDefault="00E65078" w:rsidP="00E65078">
            <w:pPr>
              <w:spacing w:after="0" w:line="480" w:lineRule="auto"/>
              <w:jc w:val="center"/>
              <w:rPr>
                <w:rFonts w:ascii="Times New Roman" w:eastAsia="Times New Roman" w:hAnsi="Times New Roman" w:cs="Times New Roman"/>
                <w:i/>
                <w:iCs/>
                <w:lang w:val="en-US" w:eastAsia="de-DE"/>
              </w:rPr>
            </w:pPr>
            <w:r w:rsidRPr="00E40305">
              <w:rPr>
                <w:rFonts w:ascii="Calibri" w:eastAsia="Times New Roman" w:hAnsi="Calibri" w:cs="Calibri"/>
                <w:i/>
                <w:iCs/>
                <w:color w:val="000000"/>
                <w:lang w:val="en-US" w:eastAsia="de-DE"/>
              </w:rPr>
              <w:t>P</w:t>
            </w:r>
          </w:p>
        </w:tc>
      </w:tr>
      <w:tr w:rsidR="00E65078" w:rsidRPr="00E65078" w14:paraId="29C8543B" w14:textId="77777777" w:rsidTr="00FD6069">
        <w:trPr>
          <w:trHeight w:val="315"/>
        </w:trPr>
        <w:tc>
          <w:tcPr>
            <w:tcW w:w="3828" w:type="dxa"/>
            <w:tcBorders>
              <w:top w:val="nil"/>
              <w:left w:val="nil"/>
              <w:bottom w:val="single" w:sz="4" w:space="0" w:color="auto"/>
              <w:right w:val="nil"/>
            </w:tcBorders>
            <w:shd w:val="clear" w:color="auto" w:fill="F2F2F2" w:themeFill="background1" w:themeFillShade="F2"/>
            <w:noWrap/>
            <w:vAlign w:val="center"/>
            <w:hideMark/>
          </w:tcPr>
          <w:p w14:paraId="781D8B1F" w14:textId="77777777" w:rsidR="00E65078" w:rsidRPr="00E40305" w:rsidRDefault="00E65078" w:rsidP="00E65078">
            <w:pPr>
              <w:spacing w:after="0" w:line="480" w:lineRule="auto"/>
              <w:rPr>
                <w:rFonts w:ascii="Times New Roman" w:eastAsia="Times New Roman" w:hAnsi="Times New Roman" w:cs="Times New Roman"/>
                <w:i/>
                <w:iCs/>
                <w:lang w:val="en-US" w:eastAsia="de-DE"/>
              </w:rPr>
            </w:pPr>
          </w:p>
        </w:tc>
        <w:tc>
          <w:tcPr>
            <w:tcW w:w="1440" w:type="dxa"/>
            <w:gridSpan w:val="2"/>
            <w:vMerge/>
            <w:tcBorders>
              <w:left w:val="nil"/>
              <w:bottom w:val="single" w:sz="4" w:space="0" w:color="auto"/>
              <w:right w:val="nil"/>
            </w:tcBorders>
            <w:shd w:val="clear" w:color="auto" w:fill="F2F2F2" w:themeFill="background1" w:themeFillShade="F2"/>
            <w:noWrap/>
            <w:vAlign w:val="center"/>
            <w:hideMark/>
          </w:tcPr>
          <w:p w14:paraId="607B1622" w14:textId="47C8F9C2" w:rsidR="00E65078" w:rsidRPr="00E40305" w:rsidRDefault="00E65078" w:rsidP="00E65078">
            <w:pPr>
              <w:spacing w:after="0" w:line="480" w:lineRule="auto"/>
              <w:jc w:val="center"/>
              <w:rPr>
                <w:rFonts w:ascii="Calibri" w:eastAsia="Times New Roman" w:hAnsi="Calibri" w:cs="Calibri"/>
                <w:i/>
                <w:iCs/>
                <w:color w:val="000000"/>
                <w:lang w:val="en-US" w:eastAsia="de-DE"/>
              </w:rPr>
            </w:pPr>
          </w:p>
        </w:tc>
        <w:tc>
          <w:tcPr>
            <w:tcW w:w="160" w:type="dxa"/>
            <w:tcBorders>
              <w:top w:val="nil"/>
              <w:left w:val="nil"/>
              <w:bottom w:val="single" w:sz="4" w:space="0" w:color="auto"/>
              <w:right w:val="nil"/>
            </w:tcBorders>
            <w:shd w:val="clear" w:color="auto" w:fill="F2F2F2" w:themeFill="background1" w:themeFillShade="F2"/>
            <w:noWrap/>
            <w:vAlign w:val="center"/>
            <w:hideMark/>
          </w:tcPr>
          <w:p w14:paraId="6D0D0C23" w14:textId="77777777" w:rsidR="00E65078" w:rsidRPr="00E40305" w:rsidRDefault="00E65078" w:rsidP="00E65078">
            <w:pPr>
              <w:spacing w:after="0" w:line="480" w:lineRule="auto"/>
              <w:rPr>
                <w:rFonts w:ascii="Times New Roman" w:eastAsia="Times New Roman" w:hAnsi="Times New Roman" w:cs="Times New Roman"/>
                <w:i/>
                <w:iCs/>
                <w:lang w:val="en-US" w:eastAsia="de-DE"/>
              </w:rPr>
            </w:pPr>
          </w:p>
        </w:tc>
        <w:tc>
          <w:tcPr>
            <w:tcW w:w="1660" w:type="dxa"/>
            <w:gridSpan w:val="2"/>
            <w:vMerge/>
            <w:tcBorders>
              <w:left w:val="nil"/>
              <w:bottom w:val="single" w:sz="4" w:space="0" w:color="auto"/>
              <w:right w:val="nil"/>
            </w:tcBorders>
            <w:shd w:val="clear" w:color="auto" w:fill="F2F2F2" w:themeFill="background1" w:themeFillShade="F2"/>
            <w:noWrap/>
            <w:vAlign w:val="center"/>
            <w:hideMark/>
          </w:tcPr>
          <w:p w14:paraId="587899A3" w14:textId="6B0B149F" w:rsidR="00E65078" w:rsidRPr="00E40305" w:rsidRDefault="00E65078" w:rsidP="00E65078">
            <w:pPr>
              <w:spacing w:after="0" w:line="480" w:lineRule="auto"/>
              <w:jc w:val="center"/>
              <w:rPr>
                <w:rFonts w:ascii="Calibri" w:eastAsia="Times New Roman" w:hAnsi="Calibri" w:cs="Calibri"/>
                <w:i/>
                <w:iCs/>
                <w:color w:val="000000"/>
                <w:lang w:val="en-US" w:eastAsia="de-DE"/>
              </w:rPr>
            </w:pPr>
          </w:p>
        </w:tc>
        <w:tc>
          <w:tcPr>
            <w:tcW w:w="992" w:type="dxa"/>
            <w:vMerge/>
            <w:tcBorders>
              <w:left w:val="nil"/>
              <w:bottom w:val="single" w:sz="4" w:space="0" w:color="auto"/>
              <w:right w:val="nil"/>
            </w:tcBorders>
            <w:shd w:val="clear" w:color="auto" w:fill="F2F2F2" w:themeFill="background1" w:themeFillShade="F2"/>
            <w:noWrap/>
            <w:vAlign w:val="center"/>
            <w:hideMark/>
          </w:tcPr>
          <w:p w14:paraId="25AAF010" w14:textId="5F313BD6" w:rsidR="00E65078" w:rsidRPr="00E40305" w:rsidRDefault="00E65078" w:rsidP="00E65078">
            <w:pPr>
              <w:spacing w:after="0" w:line="480" w:lineRule="auto"/>
              <w:jc w:val="center"/>
              <w:rPr>
                <w:rFonts w:ascii="Calibri" w:eastAsia="Times New Roman" w:hAnsi="Calibri" w:cs="Calibri"/>
                <w:i/>
                <w:iCs/>
                <w:color w:val="000000"/>
                <w:lang w:val="en-US" w:eastAsia="de-DE"/>
              </w:rPr>
            </w:pPr>
          </w:p>
        </w:tc>
      </w:tr>
      <w:tr w:rsidR="00B43317" w:rsidRPr="00E65078" w14:paraId="088C5A73" w14:textId="77777777" w:rsidTr="00FD6069">
        <w:trPr>
          <w:trHeight w:val="315"/>
        </w:trPr>
        <w:tc>
          <w:tcPr>
            <w:tcW w:w="3828" w:type="dxa"/>
            <w:tcBorders>
              <w:top w:val="single" w:sz="4" w:space="0" w:color="auto"/>
              <w:left w:val="nil"/>
              <w:bottom w:val="nil"/>
              <w:right w:val="nil"/>
            </w:tcBorders>
            <w:shd w:val="clear" w:color="auto" w:fill="auto"/>
            <w:noWrap/>
            <w:vAlign w:val="bottom"/>
            <w:hideMark/>
          </w:tcPr>
          <w:p w14:paraId="05541AAD"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SVC posterolateral PN course</w:t>
            </w:r>
          </w:p>
        </w:tc>
        <w:tc>
          <w:tcPr>
            <w:tcW w:w="708" w:type="dxa"/>
            <w:tcBorders>
              <w:top w:val="single" w:sz="4" w:space="0" w:color="auto"/>
              <w:left w:val="nil"/>
              <w:bottom w:val="nil"/>
              <w:right w:val="nil"/>
            </w:tcBorders>
            <w:shd w:val="clear" w:color="auto" w:fill="auto"/>
            <w:noWrap/>
            <w:vAlign w:val="bottom"/>
            <w:hideMark/>
          </w:tcPr>
          <w:p w14:paraId="06901E04"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10</w:t>
            </w:r>
          </w:p>
        </w:tc>
        <w:tc>
          <w:tcPr>
            <w:tcW w:w="732" w:type="dxa"/>
            <w:tcBorders>
              <w:top w:val="single" w:sz="4" w:space="0" w:color="auto"/>
              <w:left w:val="nil"/>
              <w:bottom w:val="nil"/>
              <w:right w:val="nil"/>
            </w:tcBorders>
            <w:shd w:val="clear" w:color="auto" w:fill="auto"/>
            <w:noWrap/>
            <w:vAlign w:val="bottom"/>
            <w:hideMark/>
          </w:tcPr>
          <w:p w14:paraId="61DC37A6" w14:textId="56E4B193" w:rsidR="00B43317" w:rsidRPr="00E65078" w:rsidRDefault="00FD6069" w:rsidP="00E65078">
            <w:pPr>
              <w:spacing w:after="0" w:line="480" w:lineRule="auto"/>
              <w:rPr>
                <w:rFonts w:ascii="Calibri" w:eastAsia="Times New Roman" w:hAnsi="Calibri" w:cs="Calibri"/>
                <w:b/>
                <w:bCs/>
                <w:color w:val="000000"/>
                <w:lang w:val="en-US" w:eastAsia="de-DE"/>
              </w:rPr>
            </w:pPr>
            <w:r>
              <w:rPr>
                <w:rFonts w:ascii="Calibri" w:eastAsia="Times New Roman" w:hAnsi="Calibri" w:cs="Calibri"/>
                <w:b/>
                <w:bCs/>
                <w:color w:val="000000"/>
                <w:lang w:val="en-US" w:eastAsia="de-DE"/>
              </w:rPr>
              <w:t>(</w:t>
            </w:r>
            <w:r w:rsidR="00B43317" w:rsidRPr="00E65078">
              <w:rPr>
                <w:rFonts w:ascii="Calibri" w:eastAsia="Times New Roman" w:hAnsi="Calibri" w:cs="Calibri"/>
                <w:b/>
                <w:bCs/>
                <w:color w:val="000000"/>
                <w:lang w:val="en-US" w:eastAsia="de-DE"/>
              </w:rPr>
              <w:t>31%</w:t>
            </w:r>
            <w:r>
              <w:rPr>
                <w:rFonts w:ascii="Calibri" w:eastAsia="Times New Roman" w:hAnsi="Calibri" w:cs="Calibri"/>
                <w:b/>
                <w:bCs/>
                <w:color w:val="000000"/>
                <w:lang w:val="en-US" w:eastAsia="de-DE"/>
              </w:rPr>
              <w:t>)</w:t>
            </w:r>
          </w:p>
        </w:tc>
        <w:tc>
          <w:tcPr>
            <w:tcW w:w="160" w:type="dxa"/>
            <w:tcBorders>
              <w:top w:val="single" w:sz="4" w:space="0" w:color="auto"/>
              <w:left w:val="nil"/>
              <w:bottom w:val="nil"/>
              <w:right w:val="nil"/>
            </w:tcBorders>
            <w:shd w:val="clear" w:color="auto" w:fill="auto"/>
            <w:noWrap/>
            <w:vAlign w:val="bottom"/>
            <w:hideMark/>
          </w:tcPr>
          <w:p w14:paraId="584FBDFC" w14:textId="77777777" w:rsidR="00B43317" w:rsidRPr="00E65078" w:rsidRDefault="00B43317" w:rsidP="00E65078">
            <w:pPr>
              <w:spacing w:after="0" w:line="480" w:lineRule="auto"/>
              <w:rPr>
                <w:rFonts w:ascii="Calibri" w:eastAsia="Times New Roman" w:hAnsi="Calibri" w:cs="Calibri"/>
                <w:b/>
                <w:bCs/>
                <w:color w:val="000000"/>
                <w:lang w:val="en-US" w:eastAsia="de-DE"/>
              </w:rPr>
            </w:pPr>
          </w:p>
        </w:tc>
        <w:tc>
          <w:tcPr>
            <w:tcW w:w="809" w:type="dxa"/>
            <w:tcBorders>
              <w:top w:val="single" w:sz="4" w:space="0" w:color="auto"/>
              <w:left w:val="nil"/>
              <w:bottom w:val="nil"/>
              <w:right w:val="nil"/>
            </w:tcBorders>
            <w:shd w:val="clear" w:color="auto" w:fill="auto"/>
            <w:noWrap/>
            <w:vAlign w:val="bottom"/>
            <w:hideMark/>
          </w:tcPr>
          <w:p w14:paraId="06384EDB"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22</w:t>
            </w:r>
          </w:p>
        </w:tc>
        <w:tc>
          <w:tcPr>
            <w:tcW w:w="851" w:type="dxa"/>
            <w:tcBorders>
              <w:top w:val="single" w:sz="4" w:space="0" w:color="auto"/>
              <w:left w:val="nil"/>
              <w:bottom w:val="nil"/>
              <w:right w:val="nil"/>
            </w:tcBorders>
            <w:shd w:val="clear" w:color="auto" w:fill="auto"/>
            <w:noWrap/>
            <w:vAlign w:val="bottom"/>
            <w:hideMark/>
          </w:tcPr>
          <w:p w14:paraId="3935E706" w14:textId="26E4EF56"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69%</w:t>
            </w:r>
            <w:r>
              <w:rPr>
                <w:rFonts w:ascii="Calibri" w:eastAsia="Times New Roman" w:hAnsi="Calibri" w:cs="Calibri"/>
                <w:color w:val="000000"/>
                <w:lang w:val="en-US" w:eastAsia="de-DE"/>
              </w:rPr>
              <w:t>)</w:t>
            </w:r>
          </w:p>
        </w:tc>
        <w:tc>
          <w:tcPr>
            <w:tcW w:w="992" w:type="dxa"/>
            <w:tcBorders>
              <w:top w:val="single" w:sz="4" w:space="0" w:color="auto"/>
              <w:left w:val="nil"/>
              <w:bottom w:val="nil"/>
              <w:right w:val="nil"/>
            </w:tcBorders>
            <w:shd w:val="clear" w:color="auto" w:fill="auto"/>
            <w:noWrap/>
            <w:vAlign w:val="bottom"/>
            <w:hideMark/>
          </w:tcPr>
          <w:p w14:paraId="63ECA53F"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0,038</w:t>
            </w:r>
          </w:p>
        </w:tc>
      </w:tr>
      <w:tr w:rsidR="00B43317" w:rsidRPr="00E65078" w14:paraId="6F134D82" w14:textId="77777777" w:rsidTr="00FD6069">
        <w:trPr>
          <w:trHeight w:val="315"/>
        </w:trPr>
        <w:tc>
          <w:tcPr>
            <w:tcW w:w="3828" w:type="dxa"/>
            <w:tcBorders>
              <w:top w:val="nil"/>
              <w:left w:val="nil"/>
              <w:bottom w:val="nil"/>
              <w:right w:val="nil"/>
            </w:tcBorders>
            <w:shd w:val="clear" w:color="auto" w:fill="auto"/>
            <w:noWrap/>
            <w:vAlign w:val="bottom"/>
            <w:hideMark/>
          </w:tcPr>
          <w:p w14:paraId="0B76AB39"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SVC lateral PN course</w:t>
            </w:r>
          </w:p>
        </w:tc>
        <w:tc>
          <w:tcPr>
            <w:tcW w:w="708" w:type="dxa"/>
            <w:tcBorders>
              <w:top w:val="nil"/>
              <w:left w:val="nil"/>
              <w:bottom w:val="nil"/>
              <w:right w:val="nil"/>
            </w:tcBorders>
            <w:shd w:val="clear" w:color="auto" w:fill="auto"/>
            <w:noWrap/>
            <w:vAlign w:val="bottom"/>
            <w:hideMark/>
          </w:tcPr>
          <w:p w14:paraId="62935B15"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13</w:t>
            </w:r>
          </w:p>
        </w:tc>
        <w:tc>
          <w:tcPr>
            <w:tcW w:w="732" w:type="dxa"/>
            <w:tcBorders>
              <w:top w:val="nil"/>
              <w:left w:val="nil"/>
              <w:bottom w:val="nil"/>
              <w:right w:val="nil"/>
            </w:tcBorders>
            <w:shd w:val="clear" w:color="auto" w:fill="auto"/>
            <w:noWrap/>
            <w:vAlign w:val="bottom"/>
            <w:hideMark/>
          </w:tcPr>
          <w:p w14:paraId="4A1A295E" w14:textId="1E7D2F11"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19%</w:t>
            </w:r>
            <w:r>
              <w:rPr>
                <w:rFonts w:ascii="Calibri" w:eastAsia="Times New Roman" w:hAnsi="Calibri" w:cs="Calibri"/>
                <w:color w:val="000000"/>
                <w:lang w:val="en-US" w:eastAsia="de-DE"/>
              </w:rPr>
              <w:t>)</w:t>
            </w:r>
          </w:p>
        </w:tc>
        <w:tc>
          <w:tcPr>
            <w:tcW w:w="160" w:type="dxa"/>
            <w:tcBorders>
              <w:top w:val="nil"/>
              <w:left w:val="nil"/>
              <w:bottom w:val="nil"/>
              <w:right w:val="nil"/>
            </w:tcBorders>
            <w:shd w:val="clear" w:color="auto" w:fill="auto"/>
            <w:noWrap/>
            <w:vAlign w:val="bottom"/>
            <w:hideMark/>
          </w:tcPr>
          <w:p w14:paraId="68B1D4D6"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nil"/>
              <w:right w:val="nil"/>
            </w:tcBorders>
            <w:shd w:val="clear" w:color="auto" w:fill="auto"/>
            <w:noWrap/>
            <w:vAlign w:val="bottom"/>
            <w:hideMark/>
          </w:tcPr>
          <w:p w14:paraId="093EFFD8"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56</w:t>
            </w:r>
          </w:p>
        </w:tc>
        <w:tc>
          <w:tcPr>
            <w:tcW w:w="851" w:type="dxa"/>
            <w:tcBorders>
              <w:top w:val="nil"/>
              <w:left w:val="nil"/>
              <w:bottom w:val="nil"/>
              <w:right w:val="nil"/>
            </w:tcBorders>
            <w:shd w:val="clear" w:color="auto" w:fill="auto"/>
            <w:noWrap/>
            <w:vAlign w:val="bottom"/>
            <w:hideMark/>
          </w:tcPr>
          <w:p w14:paraId="50E9BCBC" w14:textId="37BE7ACD"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81%</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31FA6C23"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w:t>
            </w:r>
          </w:p>
        </w:tc>
      </w:tr>
      <w:tr w:rsidR="00B43317" w:rsidRPr="00E65078" w14:paraId="3DCC60BC" w14:textId="77777777" w:rsidTr="00FD6069">
        <w:trPr>
          <w:trHeight w:val="315"/>
        </w:trPr>
        <w:tc>
          <w:tcPr>
            <w:tcW w:w="3828" w:type="dxa"/>
            <w:tcBorders>
              <w:top w:val="nil"/>
              <w:left w:val="nil"/>
              <w:bottom w:val="nil"/>
              <w:right w:val="nil"/>
            </w:tcBorders>
            <w:shd w:val="clear" w:color="auto" w:fill="auto"/>
            <w:noWrap/>
            <w:vAlign w:val="bottom"/>
            <w:hideMark/>
          </w:tcPr>
          <w:p w14:paraId="5291696A"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SVC anterolateral PN course</w:t>
            </w:r>
          </w:p>
        </w:tc>
        <w:tc>
          <w:tcPr>
            <w:tcW w:w="708" w:type="dxa"/>
            <w:tcBorders>
              <w:top w:val="nil"/>
              <w:left w:val="nil"/>
              <w:bottom w:val="nil"/>
              <w:right w:val="nil"/>
            </w:tcBorders>
            <w:shd w:val="clear" w:color="auto" w:fill="auto"/>
            <w:noWrap/>
            <w:vAlign w:val="bottom"/>
            <w:hideMark/>
          </w:tcPr>
          <w:p w14:paraId="2F85E4A5"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w:t>
            </w:r>
          </w:p>
        </w:tc>
        <w:tc>
          <w:tcPr>
            <w:tcW w:w="732" w:type="dxa"/>
            <w:tcBorders>
              <w:top w:val="nil"/>
              <w:left w:val="nil"/>
              <w:bottom w:val="nil"/>
              <w:right w:val="nil"/>
            </w:tcBorders>
            <w:shd w:val="clear" w:color="auto" w:fill="auto"/>
            <w:noWrap/>
            <w:vAlign w:val="bottom"/>
            <w:hideMark/>
          </w:tcPr>
          <w:p w14:paraId="3EA15F50"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p>
        </w:tc>
        <w:tc>
          <w:tcPr>
            <w:tcW w:w="160" w:type="dxa"/>
            <w:tcBorders>
              <w:top w:val="nil"/>
              <w:left w:val="nil"/>
              <w:bottom w:val="nil"/>
              <w:right w:val="nil"/>
            </w:tcBorders>
            <w:shd w:val="clear" w:color="auto" w:fill="auto"/>
            <w:noWrap/>
            <w:vAlign w:val="bottom"/>
            <w:hideMark/>
          </w:tcPr>
          <w:p w14:paraId="4FD263F1" w14:textId="77777777" w:rsidR="00B43317" w:rsidRPr="00E65078" w:rsidRDefault="00B43317" w:rsidP="00E65078">
            <w:pPr>
              <w:spacing w:after="0" w:line="480" w:lineRule="auto"/>
              <w:rPr>
                <w:rFonts w:ascii="Times New Roman" w:eastAsia="Times New Roman" w:hAnsi="Times New Roman" w:cs="Times New Roman"/>
                <w:lang w:val="en-US" w:eastAsia="de-DE"/>
              </w:rPr>
            </w:pPr>
          </w:p>
        </w:tc>
        <w:tc>
          <w:tcPr>
            <w:tcW w:w="809" w:type="dxa"/>
            <w:tcBorders>
              <w:top w:val="nil"/>
              <w:left w:val="nil"/>
              <w:bottom w:val="nil"/>
              <w:right w:val="nil"/>
            </w:tcBorders>
            <w:shd w:val="clear" w:color="auto" w:fill="auto"/>
            <w:noWrap/>
            <w:vAlign w:val="bottom"/>
            <w:hideMark/>
          </w:tcPr>
          <w:p w14:paraId="5550F342"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19</w:t>
            </w:r>
          </w:p>
        </w:tc>
        <w:tc>
          <w:tcPr>
            <w:tcW w:w="851" w:type="dxa"/>
            <w:tcBorders>
              <w:top w:val="nil"/>
              <w:left w:val="nil"/>
              <w:bottom w:val="nil"/>
              <w:right w:val="nil"/>
            </w:tcBorders>
            <w:shd w:val="clear" w:color="auto" w:fill="auto"/>
            <w:noWrap/>
            <w:vAlign w:val="bottom"/>
            <w:hideMark/>
          </w:tcPr>
          <w:p w14:paraId="1D911B99" w14:textId="7C597828" w:rsidR="00B43317" w:rsidRPr="00E65078" w:rsidRDefault="00FD6069" w:rsidP="00E65078">
            <w:pPr>
              <w:spacing w:after="0" w:line="480" w:lineRule="auto"/>
              <w:jc w:val="center"/>
              <w:rPr>
                <w:rFonts w:ascii="Calibri" w:eastAsia="Times New Roman" w:hAnsi="Calibri" w:cs="Calibri"/>
                <w:b/>
                <w:bCs/>
                <w:color w:val="000000"/>
                <w:lang w:val="en-US" w:eastAsia="de-DE"/>
              </w:rPr>
            </w:pPr>
            <w:r>
              <w:rPr>
                <w:rFonts w:ascii="Calibri" w:eastAsia="Times New Roman" w:hAnsi="Calibri" w:cs="Calibri"/>
                <w:b/>
                <w:bCs/>
                <w:color w:val="000000"/>
                <w:lang w:val="en-US" w:eastAsia="de-DE"/>
              </w:rPr>
              <w:t>(</w:t>
            </w:r>
            <w:r w:rsidR="00B43317" w:rsidRPr="00E65078">
              <w:rPr>
                <w:rFonts w:ascii="Calibri" w:eastAsia="Times New Roman" w:hAnsi="Calibri" w:cs="Calibri"/>
                <w:b/>
                <w:bCs/>
                <w:color w:val="000000"/>
                <w:lang w:val="en-US" w:eastAsia="de-DE"/>
              </w:rPr>
              <w:t>100%</w:t>
            </w:r>
            <w:r>
              <w:rPr>
                <w:rFonts w:ascii="Calibri" w:eastAsia="Times New Roman" w:hAnsi="Calibri" w:cs="Calibri"/>
                <w:b/>
                <w:bCs/>
                <w:color w:val="000000"/>
                <w:lang w:val="en-US" w:eastAsia="de-DE"/>
              </w:rPr>
              <w:t>)</w:t>
            </w:r>
          </w:p>
        </w:tc>
        <w:tc>
          <w:tcPr>
            <w:tcW w:w="992" w:type="dxa"/>
            <w:tcBorders>
              <w:top w:val="nil"/>
              <w:left w:val="nil"/>
              <w:bottom w:val="nil"/>
              <w:right w:val="nil"/>
            </w:tcBorders>
            <w:shd w:val="clear" w:color="auto" w:fill="auto"/>
            <w:noWrap/>
            <w:vAlign w:val="bottom"/>
            <w:hideMark/>
          </w:tcPr>
          <w:p w14:paraId="62DC7048"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0,024</w:t>
            </w:r>
          </w:p>
        </w:tc>
      </w:tr>
      <w:tr w:rsidR="00B43317" w:rsidRPr="00E65078" w14:paraId="74C2596C" w14:textId="77777777" w:rsidTr="00FD6069">
        <w:trPr>
          <w:trHeight w:val="315"/>
        </w:trPr>
        <w:tc>
          <w:tcPr>
            <w:tcW w:w="3828" w:type="dxa"/>
            <w:tcBorders>
              <w:top w:val="nil"/>
              <w:left w:val="nil"/>
              <w:bottom w:val="nil"/>
              <w:right w:val="nil"/>
            </w:tcBorders>
            <w:shd w:val="clear" w:color="auto" w:fill="auto"/>
            <w:noWrap/>
            <w:vAlign w:val="bottom"/>
            <w:hideMark/>
          </w:tcPr>
          <w:p w14:paraId="64A7D952"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Upper RA posterior PN course</w:t>
            </w:r>
          </w:p>
        </w:tc>
        <w:tc>
          <w:tcPr>
            <w:tcW w:w="708" w:type="dxa"/>
            <w:tcBorders>
              <w:top w:val="nil"/>
              <w:left w:val="nil"/>
              <w:bottom w:val="nil"/>
              <w:right w:val="nil"/>
            </w:tcBorders>
            <w:shd w:val="clear" w:color="auto" w:fill="auto"/>
            <w:noWrap/>
            <w:vAlign w:val="bottom"/>
            <w:hideMark/>
          </w:tcPr>
          <w:p w14:paraId="16491481"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w:t>
            </w:r>
          </w:p>
        </w:tc>
        <w:tc>
          <w:tcPr>
            <w:tcW w:w="732" w:type="dxa"/>
            <w:tcBorders>
              <w:top w:val="nil"/>
              <w:left w:val="nil"/>
              <w:bottom w:val="nil"/>
              <w:right w:val="nil"/>
            </w:tcBorders>
            <w:shd w:val="clear" w:color="auto" w:fill="auto"/>
            <w:noWrap/>
            <w:vAlign w:val="bottom"/>
            <w:hideMark/>
          </w:tcPr>
          <w:p w14:paraId="0CA45A0E"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p>
        </w:tc>
        <w:tc>
          <w:tcPr>
            <w:tcW w:w="160" w:type="dxa"/>
            <w:tcBorders>
              <w:top w:val="nil"/>
              <w:left w:val="nil"/>
              <w:bottom w:val="nil"/>
              <w:right w:val="nil"/>
            </w:tcBorders>
            <w:shd w:val="clear" w:color="auto" w:fill="auto"/>
            <w:noWrap/>
            <w:vAlign w:val="bottom"/>
            <w:hideMark/>
          </w:tcPr>
          <w:p w14:paraId="181F7F9D" w14:textId="77777777" w:rsidR="00B43317" w:rsidRPr="00E65078" w:rsidRDefault="00B43317" w:rsidP="00E65078">
            <w:pPr>
              <w:spacing w:after="0" w:line="480" w:lineRule="auto"/>
              <w:rPr>
                <w:rFonts w:ascii="Times New Roman" w:eastAsia="Times New Roman" w:hAnsi="Times New Roman" w:cs="Times New Roman"/>
                <w:lang w:val="en-US" w:eastAsia="de-DE"/>
              </w:rPr>
            </w:pPr>
          </w:p>
        </w:tc>
        <w:tc>
          <w:tcPr>
            <w:tcW w:w="809" w:type="dxa"/>
            <w:tcBorders>
              <w:top w:val="nil"/>
              <w:left w:val="nil"/>
              <w:bottom w:val="nil"/>
              <w:right w:val="nil"/>
            </w:tcBorders>
            <w:shd w:val="clear" w:color="auto" w:fill="auto"/>
            <w:noWrap/>
            <w:vAlign w:val="bottom"/>
            <w:hideMark/>
          </w:tcPr>
          <w:p w14:paraId="0B6F6A2D"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w:t>
            </w:r>
          </w:p>
        </w:tc>
        <w:tc>
          <w:tcPr>
            <w:tcW w:w="851" w:type="dxa"/>
            <w:tcBorders>
              <w:top w:val="nil"/>
              <w:left w:val="nil"/>
              <w:bottom w:val="nil"/>
              <w:right w:val="nil"/>
            </w:tcBorders>
            <w:shd w:val="clear" w:color="auto" w:fill="auto"/>
            <w:noWrap/>
            <w:vAlign w:val="bottom"/>
            <w:hideMark/>
          </w:tcPr>
          <w:p w14:paraId="4C490668" w14:textId="2179EC08"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100%</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28879741"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w:t>
            </w:r>
          </w:p>
        </w:tc>
      </w:tr>
      <w:tr w:rsidR="00B43317" w:rsidRPr="00E65078" w14:paraId="6B9988FE" w14:textId="77777777" w:rsidTr="00FD6069">
        <w:trPr>
          <w:trHeight w:val="315"/>
        </w:trPr>
        <w:tc>
          <w:tcPr>
            <w:tcW w:w="3828" w:type="dxa"/>
            <w:tcBorders>
              <w:top w:val="nil"/>
              <w:left w:val="nil"/>
              <w:bottom w:val="nil"/>
              <w:right w:val="nil"/>
            </w:tcBorders>
            <w:shd w:val="clear" w:color="auto" w:fill="auto"/>
            <w:noWrap/>
            <w:vAlign w:val="bottom"/>
            <w:hideMark/>
          </w:tcPr>
          <w:p w14:paraId="5EED8901"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Upper RA posterolateral PN course</w:t>
            </w:r>
          </w:p>
        </w:tc>
        <w:tc>
          <w:tcPr>
            <w:tcW w:w="708" w:type="dxa"/>
            <w:tcBorders>
              <w:top w:val="nil"/>
              <w:left w:val="nil"/>
              <w:bottom w:val="nil"/>
              <w:right w:val="nil"/>
            </w:tcBorders>
            <w:shd w:val="clear" w:color="auto" w:fill="auto"/>
            <w:noWrap/>
            <w:vAlign w:val="bottom"/>
            <w:hideMark/>
          </w:tcPr>
          <w:p w14:paraId="59ADE678"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11</w:t>
            </w:r>
          </w:p>
        </w:tc>
        <w:tc>
          <w:tcPr>
            <w:tcW w:w="732" w:type="dxa"/>
            <w:tcBorders>
              <w:top w:val="nil"/>
              <w:left w:val="nil"/>
              <w:bottom w:val="nil"/>
              <w:right w:val="nil"/>
            </w:tcBorders>
            <w:shd w:val="clear" w:color="auto" w:fill="auto"/>
            <w:noWrap/>
            <w:vAlign w:val="bottom"/>
            <w:hideMark/>
          </w:tcPr>
          <w:p w14:paraId="7F6F7423" w14:textId="438370C6" w:rsidR="00B43317" w:rsidRPr="00E65078" w:rsidRDefault="00FD6069" w:rsidP="00E65078">
            <w:pPr>
              <w:spacing w:after="0" w:line="480" w:lineRule="auto"/>
              <w:rPr>
                <w:rFonts w:ascii="Calibri" w:eastAsia="Times New Roman" w:hAnsi="Calibri" w:cs="Calibri"/>
                <w:b/>
                <w:bCs/>
                <w:color w:val="000000"/>
                <w:lang w:val="en-US" w:eastAsia="de-DE"/>
              </w:rPr>
            </w:pPr>
            <w:r>
              <w:rPr>
                <w:rFonts w:ascii="Calibri" w:eastAsia="Times New Roman" w:hAnsi="Calibri" w:cs="Calibri"/>
                <w:b/>
                <w:bCs/>
                <w:color w:val="000000"/>
                <w:lang w:val="en-US" w:eastAsia="de-DE"/>
              </w:rPr>
              <w:t>(</w:t>
            </w:r>
            <w:r w:rsidR="00B43317" w:rsidRPr="00E65078">
              <w:rPr>
                <w:rFonts w:ascii="Calibri" w:eastAsia="Times New Roman" w:hAnsi="Calibri" w:cs="Calibri"/>
                <w:b/>
                <w:bCs/>
                <w:color w:val="000000"/>
                <w:lang w:val="en-US" w:eastAsia="de-DE"/>
              </w:rPr>
              <w:t>41%</w:t>
            </w:r>
            <w:r>
              <w:rPr>
                <w:rFonts w:ascii="Calibri" w:eastAsia="Times New Roman" w:hAnsi="Calibri" w:cs="Calibri"/>
                <w:b/>
                <w:bCs/>
                <w:color w:val="000000"/>
                <w:lang w:val="en-US" w:eastAsia="de-DE"/>
              </w:rPr>
              <w:t>)</w:t>
            </w:r>
          </w:p>
        </w:tc>
        <w:tc>
          <w:tcPr>
            <w:tcW w:w="160" w:type="dxa"/>
            <w:tcBorders>
              <w:top w:val="nil"/>
              <w:left w:val="nil"/>
              <w:bottom w:val="nil"/>
              <w:right w:val="nil"/>
            </w:tcBorders>
            <w:shd w:val="clear" w:color="auto" w:fill="auto"/>
            <w:noWrap/>
            <w:vAlign w:val="bottom"/>
            <w:hideMark/>
          </w:tcPr>
          <w:p w14:paraId="71C76E27" w14:textId="77777777" w:rsidR="00B43317" w:rsidRPr="00E65078" w:rsidRDefault="00B43317" w:rsidP="00E65078">
            <w:pPr>
              <w:spacing w:after="0" w:line="480" w:lineRule="auto"/>
              <w:rPr>
                <w:rFonts w:ascii="Calibri" w:eastAsia="Times New Roman" w:hAnsi="Calibri" w:cs="Calibri"/>
                <w:b/>
                <w:bCs/>
                <w:color w:val="000000"/>
                <w:lang w:val="en-US" w:eastAsia="de-DE"/>
              </w:rPr>
            </w:pPr>
          </w:p>
        </w:tc>
        <w:tc>
          <w:tcPr>
            <w:tcW w:w="809" w:type="dxa"/>
            <w:tcBorders>
              <w:top w:val="nil"/>
              <w:left w:val="nil"/>
              <w:bottom w:val="nil"/>
              <w:right w:val="nil"/>
            </w:tcBorders>
            <w:shd w:val="clear" w:color="auto" w:fill="auto"/>
            <w:noWrap/>
            <w:vAlign w:val="bottom"/>
            <w:hideMark/>
          </w:tcPr>
          <w:p w14:paraId="0AD9CFB9"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19</w:t>
            </w:r>
          </w:p>
        </w:tc>
        <w:tc>
          <w:tcPr>
            <w:tcW w:w="851" w:type="dxa"/>
            <w:tcBorders>
              <w:top w:val="nil"/>
              <w:left w:val="nil"/>
              <w:bottom w:val="nil"/>
              <w:right w:val="nil"/>
            </w:tcBorders>
            <w:shd w:val="clear" w:color="auto" w:fill="auto"/>
            <w:noWrap/>
            <w:vAlign w:val="bottom"/>
            <w:hideMark/>
          </w:tcPr>
          <w:p w14:paraId="6102A1EE" w14:textId="5D60B56A"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59%</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3D0B0A5E" w14:textId="77777777" w:rsidR="00B43317" w:rsidRPr="00E65078" w:rsidRDefault="00B43317" w:rsidP="00E65078">
            <w:pPr>
              <w:spacing w:after="0" w:line="480" w:lineRule="auto"/>
              <w:jc w:val="center"/>
              <w:rPr>
                <w:rFonts w:ascii="Calibri" w:eastAsia="Times New Roman" w:hAnsi="Calibri" w:cs="Calibri"/>
                <w:b/>
                <w:bCs/>
                <w:color w:val="000000"/>
                <w:lang w:val="en-US" w:eastAsia="de-DE"/>
              </w:rPr>
            </w:pPr>
            <w:r w:rsidRPr="00E65078">
              <w:rPr>
                <w:rFonts w:ascii="Calibri" w:eastAsia="Times New Roman" w:hAnsi="Calibri" w:cs="Calibri"/>
                <w:b/>
                <w:bCs/>
                <w:color w:val="000000"/>
                <w:lang w:val="en-US" w:eastAsia="de-DE"/>
              </w:rPr>
              <w:t>0,002</w:t>
            </w:r>
          </w:p>
        </w:tc>
      </w:tr>
      <w:tr w:rsidR="00B43317" w:rsidRPr="00E65078" w14:paraId="520C81E7" w14:textId="77777777" w:rsidTr="00FD6069">
        <w:trPr>
          <w:trHeight w:val="315"/>
        </w:trPr>
        <w:tc>
          <w:tcPr>
            <w:tcW w:w="3828" w:type="dxa"/>
            <w:tcBorders>
              <w:top w:val="nil"/>
              <w:left w:val="nil"/>
              <w:bottom w:val="nil"/>
              <w:right w:val="nil"/>
            </w:tcBorders>
            <w:shd w:val="clear" w:color="auto" w:fill="auto"/>
            <w:noWrap/>
            <w:vAlign w:val="bottom"/>
            <w:hideMark/>
          </w:tcPr>
          <w:p w14:paraId="7C297819"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Upper RA lateral PN course</w:t>
            </w:r>
          </w:p>
        </w:tc>
        <w:tc>
          <w:tcPr>
            <w:tcW w:w="708" w:type="dxa"/>
            <w:tcBorders>
              <w:top w:val="nil"/>
              <w:left w:val="nil"/>
              <w:bottom w:val="nil"/>
              <w:right w:val="nil"/>
            </w:tcBorders>
            <w:shd w:val="clear" w:color="auto" w:fill="auto"/>
            <w:noWrap/>
            <w:vAlign w:val="bottom"/>
            <w:hideMark/>
          </w:tcPr>
          <w:p w14:paraId="5DF152CA"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4</w:t>
            </w:r>
          </w:p>
        </w:tc>
        <w:tc>
          <w:tcPr>
            <w:tcW w:w="732" w:type="dxa"/>
            <w:tcBorders>
              <w:top w:val="nil"/>
              <w:left w:val="nil"/>
              <w:bottom w:val="nil"/>
              <w:right w:val="nil"/>
            </w:tcBorders>
            <w:shd w:val="clear" w:color="auto" w:fill="auto"/>
            <w:noWrap/>
            <w:vAlign w:val="bottom"/>
            <w:hideMark/>
          </w:tcPr>
          <w:p w14:paraId="0E01E507" w14:textId="248A2E5A"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10%</w:t>
            </w:r>
            <w:r>
              <w:rPr>
                <w:rFonts w:ascii="Calibri" w:eastAsia="Times New Roman" w:hAnsi="Calibri" w:cs="Calibri"/>
                <w:color w:val="000000"/>
                <w:lang w:val="en-US" w:eastAsia="de-DE"/>
              </w:rPr>
              <w:t>)</w:t>
            </w:r>
          </w:p>
        </w:tc>
        <w:tc>
          <w:tcPr>
            <w:tcW w:w="160" w:type="dxa"/>
            <w:tcBorders>
              <w:top w:val="nil"/>
              <w:left w:val="nil"/>
              <w:bottom w:val="nil"/>
              <w:right w:val="nil"/>
            </w:tcBorders>
            <w:shd w:val="clear" w:color="auto" w:fill="auto"/>
            <w:noWrap/>
            <w:vAlign w:val="bottom"/>
            <w:hideMark/>
          </w:tcPr>
          <w:p w14:paraId="79BC089E"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nil"/>
              <w:right w:val="nil"/>
            </w:tcBorders>
            <w:shd w:val="clear" w:color="auto" w:fill="auto"/>
            <w:noWrap/>
            <w:vAlign w:val="bottom"/>
            <w:hideMark/>
          </w:tcPr>
          <w:p w14:paraId="3DA395C0"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35</w:t>
            </w:r>
          </w:p>
        </w:tc>
        <w:tc>
          <w:tcPr>
            <w:tcW w:w="851" w:type="dxa"/>
            <w:tcBorders>
              <w:top w:val="nil"/>
              <w:left w:val="nil"/>
              <w:bottom w:val="nil"/>
              <w:right w:val="nil"/>
            </w:tcBorders>
            <w:shd w:val="clear" w:color="auto" w:fill="auto"/>
            <w:noWrap/>
            <w:vAlign w:val="bottom"/>
            <w:hideMark/>
          </w:tcPr>
          <w:p w14:paraId="47B4C66F" w14:textId="621C7A6C"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90%</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7D2D6870"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0,148</w:t>
            </w:r>
          </w:p>
        </w:tc>
      </w:tr>
      <w:tr w:rsidR="00B43317" w:rsidRPr="00E65078" w14:paraId="6693408A" w14:textId="77777777" w:rsidTr="00FD6069">
        <w:trPr>
          <w:trHeight w:val="315"/>
        </w:trPr>
        <w:tc>
          <w:tcPr>
            <w:tcW w:w="3828" w:type="dxa"/>
            <w:tcBorders>
              <w:top w:val="nil"/>
              <w:left w:val="nil"/>
              <w:bottom w:val="nil"/>
              <w:right w:val="nil"/>
            </w:tcBorders>
            <w:shd w:val="clear" w:color="auto" w:fill="auto"/>
            <w:noWrap/>
            <w:vAlign w:val="bottom"/>
            <w:hideMark/>
          </w:tcPr>
          <w:p w14:paraId="44E06671"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Upper RA anterolateral PN course</w:t>
            </w:r>
          </w:p>
        </w:tc>
        <w:tc>
          <w:tcPr>
            <w:tcW w:w="708" w:type="dxa"/>
            <w:tcBorders>
              <w:top w:val="nil"/>
              <w:left w:val="nil"/>
              <w:bottom w:val="nil"/>
              <w:right w:val="nil"/>
            </w:tcBorders>
            <w:shd w:val="clear" w:color="auto" w:fill="auto"/>
            <w:noWrap/>
            <w:vAlign w:val="bottom"/>
            <w:hideMark/>
          </w:tcPr>
          <w:p w14:paraId="6FC6C9A0"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w:t>
            </w:r>
          </w:p>
        </w:tc>
        <w:tc>
          <w:tcPr>
            <w:tcW w:w="732" w:type="dxa"/>
            <w:tcBorders>
              <w:top w:val="nil"/>
              <w:left w:val="nil"/>
              <w:bottom w:val="nil"/>
              <w:right w:val="nil"/>
            </w:tcBorders>
            <w:shd w:val="clear" w:color="auto" w:fill="auto"/>
            <w:noWrap/>
            <w:vAlign w:val="bottom"/>
            <w:hideMark/>
          </w:tcPr>
          <w:p w14:paraId="3831F164"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p>
        </w:tc>
        <w:tc>
          <w:tcPr>
            <w:tcW w:w="160" w:type="dxa"/>
            <w:tcBorders>
              <w:top w:val="nil"/>
              <w:left w:val="nil"/>
              <w:bottom w:val="nil"/>
              <w:right w:val="nil"/>
            </w:tcBorders>
            <w:shd w:val="clear" w:color="auto" w:fill="auto"/>
            <w:noWrap/>
            <w:vAlign w:val="bottom"/>
            <w:hideMark/>
          </w:tcPr>
          <w:p w14:paraId="6F066351" w14:textId="77777777" w:rsidR="00B43317" w:rsidRPr="00E65078" w:rsidRDefault="00B43317" w:rsidP="00E65078">
            <w:pPr>
              <w:spacing w:after="0" w:line="480" w:lineRule="auto"/>
              <w:rPr>
                <w:rFonts w:ascii="Times New Roman" w:eastAsia="Times New Roman" w:hAnsi="Times New Roman" w:cs="Times New Roman"/>
                <w:lang w:val="en-US" w:eastAsia="de-DE"/>
              </w:rPr>
            </w:pPr>
          </w:p>
        </w:tc>
        <w:tc>
          <w:tcPr>
            <w:tcW w:w="809" w:type="dxa"/>
            <w:tcBorders>
              <w:top w:val="nil"/>
              <w:left w:val="nil"/>
              <w:bottom w:val="nil"/>
              <w:right w:val="nil"/>
            </w:tcBorders>
            <w:shd w:val="clear" w:color="auto" w:fill="auto"/>
            <w:noWrap/>
            <w:vAlign w:val="bottom"/>
            <w:hideMark/>
          </w:tcPr>
          <w:p w14:paraId="631CFA08"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w:t>
            </w:r>
          </w:p>
        </w:tc>
        <w:tc>
          <w:tcPr>
            <w:tcW w:w="851" w:type="dxa"/>
            <w:tcBorders>
              <w:top w:val="nil"/>
              <w:left w:val="nil"/>
              <w:bottom w:val="nil"/>
              <w:right w:val="nil"/>
            </w:tcBorders>
            <w:shd w:val="clear" w:color="auto" w:fill="auto"/>
            <w:noWrap/>
            <w:vAlign w:val="bottom"/>
            <w:hideMark/>
          </w:tcPr>
          <w:p w14:paraId="69B0FC6A" w14:textId="7991760B"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100%</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45D063D8"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w:t>
            </w:r>
          </w:p>
        </w:tc>
      </w:tr>
      <w:tr w:rsidR="00B43317" w:rsidRPr="00E65078" w14:paraId="1801A18D" w14:textId="77777777" w:rsidTr="00FD6069">
        <w:trPr>
          <w:trHeight w:val="315"/>
        </w:trPr>
        <w:tc>
          <w:tcPr>
            <w:tcW w:w="3828" w:type="dxa"/>
            <w:tcBorders>
              <w:top w:val="nil"/>
              <w:left w:val="nil"/>
              <w:bottom w:val="nil"/>
              <w:right w:val="nil"/>
            </w:tcBorders>
            <w:shd w:val="clear" w:color="auto" w:fill="auto"/>
            <w:noWrap/>
            <w:vAlign w:val="bottom"/>
            <w:hideMark/>
          </w:tcPr>
          <w:p w14:paraId="3A1FDDA0"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Mid RA posterior PN course</w:t>
            </w:r>
          </w:p>
        </w:tc>
        <w:tc>
          <w:tcPr>
            <w:tcW w:w="708" w:type="dxa"/>
            <w:tcBorders>
              <w:top w:val="nil"/>
              <w:left w:val="nil"/>
              <w:bottom w:val="nil"/>
              <w:right w:val="nil"/>
            </w:tcBorders>
            <w:shd w:val="clear" w:color="auto" w:fill="auto"/>
            <w:noWrap/>
            <w:vAlign w:val="bottom"/>
            <w:hideMark/>
          </w:tcPr>
          <w:p w14:paraId="738627C0"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w:t>
            </w:r>
          </w:p>
        </w:tc>
        <w:tc>
          <w:tcPr>
            <w:tcW w:w="732" w:type="dxa"/>
            <w:tcBorders>
              <w:top w:val="nil"/>
              <w:left w:val="nil"/>
              <w:bottom w:val="nil"/>
              <w:right w:val="nil"/>
            </w:tcBorders>
            <w:shd w:val="clear" w:color="auto" w:fill="auto"/>
            <w:noWrap/>
            <w:vAlign w:val="bottom"/>
            <w:hideMark/>
          </w:tcPr>
          <w:p w14:paraId="7CAFEEC7" w14:textId="4DBE2C60"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67%</w:t>
            </w:r>
            <w:r>
              <w:rPr>
                <w:rFonts w:ascii="Calibri" w:eastAsia="Times New Roman" w:hAnsi="Calibri" w:cs="Calibri"/>
                <w:color w:val="000000"/>
                <w:lang w:val="en-US" w:eastAsia="de-DE"/>
              </w:rPr>
              <w:t>)</w:t>
            </w:r>
          </w:p>
        </w:tc>
        <w:tc>
          <w:tcPr>
            <w:tcW w:w="160" w:type="dxa"/>
            <w:tcBorders>
              <w:top w:val="nil"/>
              <w:left w:val="nil"/>
              <w:bottom w:val="nil"/>
              <w:right w:val="nil"/>
            </w:tcBorders>
            <w:shd w:val="clear" w:color="auto" w:fill="auto"/>
            <w:noWrap/>
            <w:vAlign w:val="bottom"/>
            <w:hideMark/>
          </w:tcPr>
          <w:p w14:paraId="04683637"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nil"/>
              <w:right w:val="nil"/>
            </w:tcBorders>
            <w:shd w:val="clear" w:color="auto" w:fill="auto"/>
            <w:noWrap/>
            <w:vAlign w:val="bottom"/>
            <w:hideMark/>
          </w:tcPr>
          <w:p w14:paraId="2CF4A171"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w:t>
            </w:r>
          </w:p>
        </w:tc>
        <w:tc>
          <w:tcPr>
            <w:tcW w:w="851" w:type="dxa"/>
            <w:tcBorders>
              <w:top w:val="nil"/>
              <w:left w:val="nil"/>
              <w:bottom w:val="nil"/>
              <w:right w:val="nil"/>
            </w:tcBorders>
            <w:shd w:val="clear" w:color="auto" w:fill="auto"/>
            <w:noWrap/>
            <w:vAlign w:val="bottom"/>
            <w:hideMark/>
          </w:tcPr>
          <w:p w14:paraId="3FE22E23" w14:textId="5D2A63B5"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33%</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6310D67F" w14:textId="7E63FE94"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0,086</w:t>
            </w:r>
          </w:p>
        </w:tc>
      </w:tr>
      <w:tr w:rsidR="00B43317" w:rsidRPr="00E65078" w14:paraId="4999EA25" w14:textId="77777777" w:rsidTr="00FD6069">
        <w:trPr>
          <w:trHeight w:val="315"/>
        </w:trPr>
        <w:tc>
          <w:tcPr>
            <w:tcW w:w="3828" w:type="dxa"/>
            <w:tcBorders>
              <w:top w:val="nil"/>
              <w:left w:val="nil"/>
              <w:bottom w:val="nil"/>
              <w:right w:val="nil"/>
            </w:tcBorders>
            <w:shd w:val="clear" w:color="auto" w:fill="auto"/>
            <w:noWrap/>
            <w:vAlign w:val="bottom"/>
            <w:hideMark/>
          </w:tcPr>
          <w:p w14:paraId="119F68C8"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Mid RA posterolateral PN course</w:t>
            </w:r>
          </w:p>
        </w:tc>
        <w:tc>
          <w:tcPr>
            <w:tcW w:w="708" w:type="dxa"/>
            <w:tcBorders>
              <w:top w:val="nil"/>
              <w:left w:val="nil"/>
              <w:bottom w:val="nil"/>
              <w:right w:val="nil"/>
            </w:tcBorders>
            <w:shd w:val="clear" w:color="auto" w:fill="auto"/>
            <w:noWrap/>
            <w:vAlign w:val="bottom"/>
            <w:hideMark/>
          </w:tcPr>
          <w:p w14:paraId="2B8369DE"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8</w:t>
            </w:r>
          </w:p>
        </w:tc>
        <w:tc>
          <w:tcPr>
            <w:tcW w:w="732" w:type="dxa"/>
            <w:tcBorders>
              <w:top w:val="nil"/>
              <w:left w:val="nil"/>
              <w:bottom w:val="nil"/>
              <w:right w:val="nil"/>
            </w:tcBorders>
            <w:shd w:val="clear" w:color="auto" w:fill="auto"/>
            <w:noWrap/>
            <w:vAlign w:val="bottom"/>
            <w:hideMark/>
          </w:tcPr>
          <w:p w14:paraId="6B813FBD" w14:textId="13B92E01"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25%</w:t>
            </w:r>
            <w:r>
              <w:rPr>
                <w:rFonts w:ascii="Calibri" w:eastAsia="Times New Roman" w:hAnsi="Calibri" w:cs="Calibri"/>
                <w:color w:val="000000"/>
                <w:lang w:val="en-US" w:eastAsia="de-DE"/>
              </w:rPr>
              <w:t>)</w:t>
            </w:r>
          </w:p>
        </w:tc>
        <w:tc>
          <w:tcPr>
            <w:tcW w:w="160" w:type="dxa"/>
            <w:tcBorders>
              <w:top w:val="nil"/>
              <w:left w:val="nil"/>
              <w:bottom w:val="nil"/>
              <w:right w:val="nil"/>
            </w:tcBorders>
            <w:shd w:val="clear" w:color="auto" w:fill="auto"/>
            <w:noWrap/>
            <w:vAlign w:val="bottom"/>
            <w:hideMark/>
          </w:tcPr>
          <w:p w14:paraId="58772A8C"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nil"/>
              <w:right w:val="nil"/>
            </w:tcBorders>
            <w:shd w:val="clear" w:color="auto" w:fill="auto"/>
            <w:noWrap/>
            <w:vAlign w:val="bottom"/>
            <w:hideMark/>
          </w:tcPr>
          <w:p w14:paraId="6EA8247C"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24</w:t>
            </w:r>
          </w:p>
        </w:tc>
        <w:tc>
          <w:tcPr>
            <w:tcW w:w="851" w:type="dxa"/>
            <w:tcBorders>
              <w:top w:val="nil"/>
              <w:left w:val="nil"/>
              <w:bottom w:val="nil"/>
              <w:right w:val="nil"/>
            </w:tcBorders>
            <w:shd w:val="clear" w:color="auto" w:fill="auto"/>
            <w:noWrap/>
            <w:vAlign w:val="bottom"/>
            <w:hideMark/>
          </w:tcPr>
          <w:p w14:paraId="438C8AE7" w14:textId="3E3FFEFB"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75%</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01B9A274"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0,298</w:t>
            </w:r>
          </w:p>
        </w:tc>
      </w:tr>
      <w:tr w:rsidR="00B43317" w:rsidRPr="00E65078" w14:paraId="6FCBAB66" w14:textId="77777777" w:rsidTr="00FD6069">
        <w:trPr>
          <w:trHeight w:val="315"/>
        </w:trPr>
        <w:tc>
          <w:tcPr>
            <w:tcW w:w="3828" w:type="dxa"/>
            <w:tcBorders>
              <w:top w:val="nil"/>
              <w:left w:val="nil"/>
              <w:bottom w:val="nil"/>
              <w:right w:val="nil"/>
            </w:tcBorders>
            <w:shd w:val="clear" w:color="auto" w:fill="auto"/>
            <w:noWrap/>
            <w:vAlign w:val="bottom"/>
            <w:hideMark/>
          </w:tcPr>
          <w:p w14:paraId="30B87B84"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Mid RA lateral PN course</w:t>
            </w:r>
          </w:p>
        </w:tc>
        <w:tc>
          <w:tcPr>
            <w:tcW w:w="708" w:type="dxa"/>
            <w:tcBorders>
              <w:top w:val="nil"/>
              <w:left w:val="nil"/>
              <w:bottom w:val="nil"/>
              <w:right w:val="nil"/>
            </w:tcBorders>
            <w:shd w:val="clear" w:color="auto" w:fill="auto"/>
            <w:noWrap/>
            <w:vAlign w:val="bottom"/>
            <w:hideMark/>
          </w:tcPr>
          <w:p w14:paraId="30673AEA"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3</w:t>
            </w:r>
          </w:p>
        </w:tc>
        <w:tc>
          <w:tcPr>
            <w:tcW w:w="732" w:type="dxa"/>
            <w:tcBorders>
              <w:top w:val="nil"/>
              <w:left w:val="nil"/>
              <w:bottom w:val="nil"/>
              <w:right w:val="nil"/>
            </w:tcBorders>
            <w:shd w:val="clear" w:color="auto" w:fill="auto"/>
            <w:noWrap/>
            <w:vAlign w:val="bottom"/>
            <w:hideMark/>
          </w:tcPr>
          <w:p w14:paraId="034BF32F" w14:textId="422688A5"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13%</w:t>
            </w:r>
            <w:r>
              <w:rPr>
                <w:rFonts w:ascii="Calibri" w:eastAsia="Times New Roman" w:hAnsi="Calibri" w:cs="Calibri"/>
                <w:color w:val="000000"/>
                <w:lang w:val="en-US" w:eastAsia="de-DE"/>
              </w:rPr>
              <w:t>)</w:t>
            </w:r>
          </w:p>
        </w:tc>
        <w:tc>
          <w:tcPr>
            <w:tcW w:w="160" w:type="dxa"/>
            <w:tcBorders>
              <w:top w:val="nil"/>
              <w:left w:val="nil"/>
              <w:bottom w:val="nil"/>
              <w:right w:val="nil"/>
            </w:tcBorders>
            <w:shd w:val="clear" w:color="auto" w:fill="auto"/>
            <w:noWrap/>
            <w:vAlign w:val="bottom"/>
            <w:hideMark/>
          </w:tcPr>
          <w:p w14:paraId="13BD1331"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nil"/>
              <w:right w:val="nil"/>
            </w:tcBorders>
            <w:shd w:val="clear" w:color="auto" w:fill="auto"/>
            <w:noWrap/>
            <w:vAlign w:val="bottom"/>
            <w:hideMark/>
          </w:tcPr>
          <w:p w14:paraId="5795EC5C"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21</w:t>
            </w:r>
          </w:p>
        </w:tc>
        <w:tc>
          <w:tcPr>
            <w:tcW w:w="851" w:type="dxa"/>
            <w:tcBorders>
              <w:top w:val="nil"/>
              <w:left w:val="nil"/>
              <w:bottom w:val="nil"/>
              <w:right w:val="nil"/>
            </w:tcBorders>
            <w:shd w:val="clear" w:color="auto" w:fill="auto"/>
            <w:noWrap/>
            <w:vAlign w:val="bottom"/>
            <w:hideMark/>
          </w:tcPr>
          <w:p w14:paraId="2D9960B0" w14:textId="3825B010"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88%</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701EFC8D"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0,566</w:t>
            </w:r>
          </w:p>
        </w:tc>
      </w:tr>
      <w:tr w:rsidR="00B43317" w:rsidRPr="00E65078" w14:paraId="470A947F" w14:textId="77777777" w:rsidTr="00FD6069">
        <w:trPr>
          <w:trHeight w:val="315"/>
        </w:trPr>
        <w:tc>
          <w:tcPr>
            <w:tcW w:w="3828" w:type="dxa"/>
            <w:tcBorders>
              <w:top w:val="nil"/>
              <w:left w:val="nil"/>
              <w:bottom w:val="nil"/>
              <w:right w:val="nil"/>
            </w:tcBorders>
            <w:shd w:val="clear" w:color="auto" w:fill="auto"/>
            <w:noWrap/>
            <w:vAlign w:val="bottom"/>
            <w:hideMark/>
          </w:tcPr>
          <w:p w14:paraId="737B63C2"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Lower RA posterior PN course</w:t>
            </w:r>
          </w:p>
        </w:tc>
        <w:tc>
          <w:tcPr>
            <w:tcW w:w="708" w:type="dxa"/>
            <w:tcBorders>
              <w:top w:val="nil"/>
              <w:left w:val="nil"/>
              <w:bottom w:val="nil"/>
              <w:right w:val="nil"/>
            </w:tcBorders>
            <w:shd w:val="clear" w:color="auto" w:fill="auto"/>
            <w:noWrap/>
            <w:vAlign w:val="bottom"/>
            <w:hideMark/>
          </w:tcPr>
          <w:p w14:paraId="5FAF057B"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w:t>
            </w:r>
          </w:p>
        </w:tc>
        <w:tc>
          <w:tcPr>
            <w:tcW w:w="732" w:type="dxa"/>
            <w:tcBorders>
              <w:top w:val="nil"/>
              <w:left w:val="nil"/>
              <w:bottom w:val="nil"/>
              <w:right w:val="nil"/>
            </w:tcBorders>
            <w:shd w:val="clear" w:color="auto" w:fill="auto"/>
            <w:noWrap/>
            <w:vAlign w:val="bottom"/>
            <w:hideMark/>
          </w:tcPr>
          <w:p w14:paraId="58723133"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p>
        </w:tc>
        <w:tc>
          <w:tcPr>
            <w:tcW w:w="160" w:type="dxa"/>
            <w:tcBorders>
              <w:top w:val="nil"/>
              <w:left w:val="nil"/>
              <w:bottom w:val="nil"/>
              <w:right w:val="nil"/>
            </w:tcBorders>
            <w:shd w:val="clear" w:color="auto" w:fill="auto"/>
            <w:noWrap/>
            <w:vAlign w:val="bottom"/>
            <w:hideMark/>
          </w:tcPr>
          <w:p w14:paraId="2FD6527C" w14:textId="77777777" w:rsidR="00B43317" w:rsidRPr="00E65078" w:rsidRDefault="00B43317" w:rsidP="00E65078">
            <w:pPr>
              <w:spacing w:after="0" w:line="480" w:lineRule="auto"/>
              <w:rPr>
                <w:rFonts w:ascii="Times New Roman" w:eastAsia="Times New Roman" w:hAnsi="Times New Roman" w:cs="Times New Roman"/>
                <w:lang w:val="en-US" w:eastAsia="de-DE"/>
              </w:rPr>
            </w:pPr>
          </w:p>
        </w:tc>
        <w:tc>
          <w:tcPr>
            <w:tcW w:w="809" w:type="dxa"/>
            <w:tcBorders>
              <w:top w:val="nil"/>
              <w:left w:val="nil"/>
              <w:bottom w:val="nil"/>
              <w:right w:val="nil"/>
            </w:tcBorders>
            <w:shd w:val="clear" w:color="auto" w:fill="auto"/>
            <w:noWrap/>
            <w:vAlign w:val="bottom"/>
            <w:hideMark/>
          </w:tcPr>
          <w:p w14:paraId="4C273A89"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w:t>
            </w:r>
          </w:p>
        </w:tc>
        <w:tc>
          <w:tcPr>
            <w:tcW w:w="851" w:type="dxa"/>
            <w:tcBorders>
              <w:top w:val="nil"/>
              <w:left w:val="nil"/>
              <w:bottom w:val="nil"/>
              <w:right w:val="nil"/>
            </w:tcBorders>
            <w:shd w:val="clear" w:color="auto" w:fill="auto"/>
            <w:noWrap/>
            <w:vAlign w:val="bottom"/>
            <w:hideMark/>
          </w:tcPr>
          <w:p w14:paraId="17FD6B4B" w14:textId="18E0173A"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100%</w:t>
            </w:r>
            <w:r>
              <w:rPr>
                <w:rFonts w:ascii="Calibri" w:eastAsia="Times New Roman" w:hAnsi="Calibri" w:cs="Calibri"/>
                <w:color w:val="000000"/>
                <w:lang w:val="en-US" w:eastAsia="de-DE"/>
              </w:rPr>
              <w:t>)</w:t>
            </w:r>
          </w:p>
        </w:tc>
        <w:tc>
          <w:tcPr>
            <w:tcW w:w="992" w:type="dxa"/>
            <w:tcBorders>
              <w:top w:val="nil"/>
              <w:left w:val="nil"/>
              <w:bottom w:val="nil"/>
              <w:right w:val="nil"/>
            </w:tcBorders>
            <w:shd w:val="clear" w:color="auto" w:fill="auto"/>
            <w:noWrap/>
            <w:vAlign w:val="bottom"/>
            <w:hideMark/>
          </w:tcPr>
          <w:p w14:paraId="7009E7B2"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1</w:t>
            </w:r>
          </w:p>
        </w:tc>
      </w:tr>
      <w:tr w:rsidR="00B43317" w:rsidRPr="00E65078" w14:paraId="06E37BB1" w14:textId="77777777" w:rsidTr="00FD6069">
        <w:trPr>
          <w:trHeight w:val="315"/>
        </w:trPr>
        <w:tc>
          <w:tcPr>
            <w:tcW w:w="3828" w:type="dxa"/>
            <w:tcBorders>
              <w:top w:val="nil"/>
              <w:left w:val="nil"/>
              <w:right w:val="nil"/>
            </w:tcBorders>
            <w:shd w:val="clear" w:color="auto" w:fill="auto"/>
            <w:noWrap/>
            <w:vAlign w:val="bottom"/>
            <w:hideMark/>
          </w:tcPr>
          <w:p w14:paraId="7BEF9749"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Lower RA posterolateral PN course</w:t>
            </w:r>
          </w:p>
        </w:tc>
        <w:tc>
          <w:tcPr>
            <w:tcW w:w="708" w:type="dxa"/>
            <w:tcBorders>
              <w:top w:val="nil"/>
              <w:left w:val="nil"/>
              <w:right w:val="nil"/>
            </w:tcBorders>
            <w:shd w:val="clear" w:color="auto" w:fill="auto"/>
            <w:noWrap/>
            <w:vAlign w:val="bottom"/>
            <w:hideMark/>
          </w:tcPr>
          <w:p w14:paraId="318BD2D7"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8</w:t>
            </w:r>
          </w:p>
        </w:tc>
        <w:tc>
          <w:tcPr>
            <w:tcW w:w="732" w:type="dxa"/>
            <w:tcBorders>
              <w:top w:val="nil"/>
              <w:left w:val="nil"/>
              <w:right w:val="nil"/>
            </w:tcBorders>
            <w:shd w:val="clear" w:color="auto" w:fill="auto"/>
            <w:noWrap/>
            <w:vAlign w:val="bottom"/>
            <w:hideMark/>
          </w:tcPr>
          <w:p w14:paraId="5C245DBE" w14:textId="5B550931"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24%</w:t>
            </w:r>
            <w:r>
              <w:rPr>
                <w:rFonts w:ascii="Calibri" w:eastAsia="Times New Roman" w:hAnsi="Calibri" w:cs="Calibri"/>
                <w:color w:val="000000"/>
                <w:lang w:val="en-US" w:eastAsia="de-DE"/>
              </w:rPr>
              <w:t>)</w:t>
            </w:r>
          </w:p>
        </w:tc>
        <w:tc>
          <w:tcPr>
            <w:tcW w:w="160" w:type="dxa"/>
            <w:tcBorders>
              <w:top w:val="nil"/>
              <w:left w:val="nil"/>
              <w:right w:val="nil"/>
            </w:tcBorders>
            <w:shd w:val="clear" w:color="auto" w:fill="auto"/>
            <w:noWrap/>
            <w:vAlign w:val="bottom"/>
            <w:hideMark/>
          </w:tcPr>
          <w:p w14:paraId="7A2D217B"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right w:val="nil"/>
            </w:tcBorders>
            <w:shd w:val="clear" w:color="auto" w:fill="auto"/>
            <w:noWrap/>
            <w:vAlign w:val="bottom"/>
            <w:hideMark/>
          </w:tcPr>
          <w:p w14:paraId="306A5542"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26</w:t>
            </w:r>
          </w:p>
        </w:tc>
        <w:tc>
          <w:tcPr>
            <w:tcW w:w="851" w:type="dxa"/>
            <w:tcBorders>
              <w:top w:val="nil"/>
              <w:left w:val="nil"/>
              <w:right w:val="nil"/>
            </w:tcBorders>
            <w:shd w:val="clear" w:color="auto" w:fill="auto"/>
            <w:noWrap/>
            <w:vAlign w:val="bottom"/>
            <w:hideMark/>
          </w:tcPr>
          <w:p w14:paraId="7A559C44" w14:textId="67E7D57F"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76%</w:t>
            </w:r>
            <w:r>
              <w:rPr>
                <w:rFonts w:ascii="Calibri" w:eastAsia="Times New Roman" w:hAnsi="Calibri" w:cs="Calibri"/>
                <w:color w:val="000000"/>
                <w:lang w:val="en-US" w:eastAsia="de-DE"/>
              </w:rPr>
              <w:t>)</w:t>
            </w:r>
          </w:p>
        </w:tc>
        <w:tc>
          <w:tcPr>
            <w:tcW w:w="992" w:type="dxa"/>
            <w:tcBorders>
              <w:top w:val="nil"/>
              <w:left w:val="nil"/>
              <w:right w:val="nil"/>
            </w:tcBorders>
            <w:shd w:val="clear" w:color="auto" w:fill="auto"/>
            <w:noWrap/>
            <w:vAlign w:val="bottom"/>
            <w:hideMark/>
          </w:tcPr>
          <w:p w14:paraId="4158CDFF"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0,442</w:t>
            </w:r>
          </w:p>
        </w:tc>
      </w:tr>
      <w:tr w:rsidR="00B43317" w:rsidRPr="00E65078" w14:paraId="4DC7FF5A" w14:textId="77777777" w:rsidTr="00FD6069">
        <w:trPr>
          <w:trHeight w:val="315"/>
        </w:trPr>
        <w:tc>
          <w:tcPr>
            <w:tcW w:w="3828" w:type="dxa"/>
            <w:tcBorders>
              <w:top w:val="nil"/>
              <w:left w:val="nil"/>
              <w:bottom w:val="single" w:sz="4" w:space="0" w:color="auto"/>
              <w:right w:val="nil"/>
            </w:tcBorders>
            <w:shd w:val="clear" w:color="auto" w:fill="auto"/>
            <w:noWrap/>
            <w:vAlign w:val="bottom"/>
            <w:hideMark/>
          </w:tcPr>
          <w:p w14:paraId="600CF6C9" w14:textId="77777777" w:rsidR="00B43317" w:rsidRPr="00E65078" w:rsidRDefault="00B43317" w:rsidP="00E65078">
            <w:pPr>
              <w:spacing w:after="0" w:line="480" w:lineRule="auto"/>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Lower RA lateral PN course</w:t>
            </w:r>
          </w:p>
        </w:tc>
        <w:tc>
          <w:tcPr>
            <w:tcW w:w="708" w:type="dxa"/>
            <w:tcBorders>
              <w:top w:val="nil"/>
              <w:left w:val="nil"/>
              <w:bottom w:val="single" w:sz="4" w:space="0" w:color="auto"/>
              <w:right w:val="nil"/>
            </w:tcBorders>
            <w:shd w:val="clear" w:color="auto" w:fill="auto"/>
            <w:noWrap/>
            <w:vAlign w:val="bottom"/>
            <w:hideMark/>
          </w:tcPr>
          <w:p w14:paraId="6C6473C7"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3</w:t>
            </w:r>
          </w:p>
        </w:tc>
        <w:tc>
          <w:tcPr>
            <w:tcW w:w="732" w:type="dxa"/>
            <w:tcBorders>
              <w:top w:val="nil"/>
              <w:left w:val="nil"/>
              <w:bottom w:val="single" w:sz="4" w:space="0" w:color="auto"/>
              <w:right w:val="nil"/>
            </w:tcBorders>
            <w:shd w:val="clear" w:color="auto" w:fill="auto"/>
            <w:noWrap/>
            <w:vAlign w:val="bottom"/>
            <w:hideMark/>
          </w:tcPr>
          <w:p w14:paraId="64BA95AC" w14:textId="684E822D" w:rsidR="00B43317" w:rsidRPr="00E65078" w:rsidRDefault="00FD6069" w:rsidP="00E65078">
            <w:pPr>
              <w:spacing w:after="0" w:line="480" w:lineRule="auto"/>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10%</w:t>
            </w:r>
            <w:r>
              <w:rPr>
                <w:rFonts w:ascii="Calibri" w:eastAsia="Times New Roman" w:hAnsi="Calibri" w:cs="Calibri"/>
                <w:color w:val="000000"/>
                <w:lang w:val="en-US" w:eastAsia="de-DE"/>
              </w:rPr>
              <w:t>)</w:t>
            </w:r>
          </w:p>
        </w:tc>
        <w:tc>
          <w:tcPr>
            <w:tcW w:w="160" w:type="dxa"/>
            <w:tcBorders>
              <w:top w:val="nil"/>
              <w:left w:val="nil"/>
              <w:bottom w:val="single" w:sz="4" w:space="0" w:color="auto"/>
              <w:right w:val="nil"/>
            </w:tcBorders>
            <w:shd w:val="clear" w:color="auto" w:fill="auto"/>
            <w:noWrap/>
            <w:vAlign w:val="bottom"/>
            <w:hideMark/>
          </w:tcPr>
          <w:p w14:paraId="650CD567" w14:textId="77777777" w:rsidR="00B43317" w:rsidRPr="00E65078" w:rsidRDefault="00B43317" w:rsidP="00E65078">
            <w:pPr>
              <w:spacing w:after="0" w:line="480" w:lineRule="auto"/>
              <w:rPr>
                <w:rFonts w:ascii="Calibri" w:eastAsia="Times New Roman" w:hAnsi="Calibri" w:cs="Calibri"/>
                <w:color w:val="000000"/>
                <w:lang w:val="en-US" w:eastAsia="de-DE"/>
              </w:rPr>
            </w:pPr>
          </w:p>
        </w:tc>
        <w:tc>
          <w:tcPr>
            <w:tcW w:w="809" w:type="dxa"/>
            <w:tcBorders>
              <w:top w:val="nil"/>
              <w:left w:val="nil"/>
              <w:bottom w:val="single" w:sz="4" w:space="0" w:color="auto"/>
              <w:right w:val="nil"/>
            </w:tcBorders>
            <w:shd w:val="clear" w:color="auto" w:fill="auto"/>
            <w:noWrap/>
            <w:vAlign w:val="bottom"/>
            <w:hideMark/>
          </w:tcPr>
          <w:p w14:paraId="3863BC2A"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27</w:t>
            </w:r>
          </w:p>
        </w:tc>
        <w:tc>
          <w:tcPr>
            <w:tcW w:w="851" w:type="dxa"/>
            <w:tcBorders>
              <w:top w:val="nil"/>
              <w:left w:val="nil"/>
              <w:bottom w:val="single" w:sz="4" w:space="0" w:color="auto"/>
              <w:right w:val="nil"/>
            </w:tcBorders>
            <w:shd w:val="clear" w:color="auto" w:fill="auto"/>
            <w:noWrap/>
            <w:vAlign w:val="bottom"/>
            <w:hideMark/>
          </w:tcPr>
          <w:p w14:paraId="653678BD" w14:textId="43F669A4" w:rsidR="00B43317" w:rsidRPr="00E65078" w:rsidRDefault="00FD6069" w:rsidP="00E65078">
            <w:pPr>
              <w:spacing w:after="0" w:line="480" w:lineRule="auto"/>
              <w:jc w:val="center"/>
              <w:rPr>
                <w:rFonts w:ascii="Calibri" w:eastAsia="Times New Roman" w:hAnsi="Calibri" w:cs="Calibri"/>
                <w:color w:val="000000"/>
                <w:lang w:val="en-US" w:eastAsia="de-DE"/>
              </w:rPr>
            </w:pPr>
            <w:r>
              <w:rPr>
                <w:rFonts w:ascii="Calibri" w:eastAsia="Times New Roman" w:hAnsi="Calibri" w:cs="Calibri"/>
                <w:color w:val="000000"/>
                <w:lang w:val="en-US" w:eastAsia="de-DE"/>
              </w:rPr>
              <w:t>(</w:t>
            </w:r>
            <w:r w:rsidR="00B43317" w:rsidRPr="00E65078">
              <w:rPr>
                <w:rFonts w:ascii="Calibri" w:eastAsia="Times New Roman" w:hAnsi="Calibri" w:cs="Calibri"/>
                <w:color w:val="000000"/>
                <w:lang w:val="en-US" w:eastAsia="de-DE"/>
              </w:rPr>
              <w:t>90%</w:t>
            </w:r>
            <w:r>
              <w:rPr>
                <w:rFonts w:ascii="Calibri" w:eastAsia="Times New Roman" w:hAnsi="Calibri" w:cs="Calibri"/>
                <w:color w:val="000000"/>
                <w:lang w:val="en-US" w:eastAsia="de-DE"/>
              </w:rPr>
              <w:t>)</w:t>
            </w:r>
          </w:p>
        </w:tc>
        <w:tc>
          <w:tcPr>
            <w:tcW w:w="992" w:type="dxa"/>
            <w:tcBorders>
              <w:top w:val="nil"/>
              <w:left w:val="nil"/>
              <w:bottom w:val="single" w:sz="4" w:space="0" w:color="auto"/>
              <w:right w:val="nil"/>
            </w:tcBorders>
            <w:shd w:val="clear" w:color="auto" w:fill="auto"/>
            <w:noWrap/>
            <w:vAlign w:val="bottom"/>
            <w:hideMark/>
          </w:tcPr>
          <w:p w14:paraId="75C2D08F" w14:textId="77777777" w:rsidR="00B43317" w:rsidRPr="00E65078" w:rsidRDefault="00B43317" w:rsidP="00E65078">
            <w:pPr>
              <w:spacing w:after="0" w:line="480" w:lineRule="auto"/>
              <w:jc w:val="center"/>
              <w:rPr>
                <w:rFonts w:ascii="Calibri" w:eastAsia="Times New Roman" w:hAnsi="Calibri" w:cs="Calibri"/>
                <w:color w:val="000000"/>
                <w:lang w:val="en-US" w:eastAsia="de-DE"/>
              </w:rPr>
            </w:pPr>
            <w:r w:rsidRPr="00E65078">
              <w:rPr>
                <w:rFonts w:ascii="Calibri" w:eastAsia="Times New Roman" w:hAnsi="Calibri" w:cs="Calibri"/>
                <w:color w:val="000000"/>
                <w:lang w:val="en-US" w:eastAsia="de-DE"/>
              </w:rPr>
              <w:t>0,284</w:t>
            </w:r>
          </w:p>
        </w:tc>
      </w:tr>
    </w:tbl>
    <w:p w14:paraId="21C49A03" w14:textId="77777777" w:rsidR="00656D42" w:rsidRDefault="00656D42" w:rsidP="00656D42">
      <w:pPr>
        <w:spacing w:line="240" w:lineRule="auto"/>
        <w:jc w:val="both"/>
        <w:rPr>
          <w:bCs/>
          <w:szCs w:val="20"/>
          <w:lang w:val="en-US"/>
        </w:rPr>
      </w:pPr>
    </w:p>
    <w:p w14:paraId="2C95E501" w14:textId="70630506" w:rsidR="00656D42" w:rsidRDefault="00656D42" w:rsidP="00656D42">
      <w:pPr>
        <w:spacing w:line="480" w:lineRule="auto"/>
        <w:jc w:val="both"/>
        <w:rPr>
          <w:lang w:val="en-US"/>
        </w:rPr>
      </w:pPr>
      <w:r>
        <w:rPr>
          <w:bCs/>
          <w:szCs w:val="20"/>
          <w:lang w:val="en-US"/>
        </w:rPr>
        <w:t>Data is displayed as n (%);</w:t>
      </w:r>
      <w:r>
        <w:rPr>
          <w:lang w:val="en-US"/>
        </w:rPr>
        <w:t xml:space="preserve"> LA, left atrium; PN, phrenic nerve; RA, right atrium; RSPV, right superior pulmonary vein; SVC, superior vena cava.</w:t>
      </w:r>
    </w:p>
    <w:p w14:paraId="0C9BEDD9" w14:textId="77777777" w:rsidR="00B43317" w:rsidRDefault="00B43317">
      <w:pPr>
        <w:rPr>
          <w:b/>
          <w:szCs w:val="20"/>
          <w:u w:val="single"/>
          <w:lang w:val="en-US"/>
        </w:rPr>
      </w:pPr>
      <w:r>
        <w:rPr>
          <w:b/>
          <w:szCs w:val="20"/>
          <w:u w:val="single"/>
          <w:lang w:val="en-US"/>
        </w:rPr>
        <w:br w:type="page"/>
      </w:r>
    </w:p>
    <w:p w14:paraId="5500629E" w14:textId="77777777" w:rsidR="00450804" w:rsidRPr="00860006" w:rsidRDefault="00450804" w:rsidP="00450804">
      <w:pPr>
        <w:pStyle w:val="KeinLeerraum"/>
        <w:spacing w:line="480" w:lineRule="auto"/>
        <w:jc w:val="both"/>
        <w:rPr>
          <w:b/>
          <w:szCs w:val="20"/>
          <w:u w:val="single"/>
          <w:lang w:val="en-US"/>
        </w:rPr>
      </w:pPr>
      <w:r>
        <w:rPr>
          <w:b/>
          <w:szCs w:val="20"/>
          <w:u w:val="single"/>
          <w:lang w:val="en-US"/>
        </w:rPr>
        <w:lastRenderedPageBreak/>
        <w:t xml:space="preserve">Supplemental </w:t>
      </w:r>
      <w:r w:rsidRPr="00860006">
        <w:rPr>
          <w:b/>
          <w:szCs w:val="20"/>
          <w:u w:val="single"/>
          <w:lang w:val="en-US"/>
        </w:rPr>
        <w:t xml:space="preserve">Figure 1: </w:t>
      </w:r>
    </w:p>
    <w:p w14:paraId="0AD41780" w14:textId="77777777" w:rsidR="00450804" w:rsidRDefault="00450804" w:rsidP="00450804">
      <w:pPr>
        <w:pStyle w:val="KeinLeerraum"/>
        <w:spacing w:line="480" w:lineRule="auto"/>
        <w:jc w:val="both"/>
        <w:rPr>
          <w:bCs/>
          <w:szCs w:val="20"/>
          <w:lang w:val="en-US"/>
        </w:rPr>
      </w:pPr>
      <w:r>
        <w:rPr>
          <w:bCs/>
          <w:noProof/>
          <w:szCs w:val="20"/>
          <w:lang w:eastAsia="de-DE"/>
        </w:rPr>
        <w:drawing>
          <wp:inline distT="0" distB="0" distL="0" distR="0" wp14:anchorId="5ACFCF6E" wp14:editId="71559EAD">
            <wp:extent cx="5760720" cy="33223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3322320"/>
                    </a:xfrm>
                    <a:prstGeom prst="rect">
                      <a:avLst/>
                    </a:prstGeom>
                  </pic:spPr>
                </pic:pic>
              </a:graphicData>
            </a:graphic>
          </wp:inline>
        </w:drawing>
      </w:r>
    </w:p>
    <w:p w14:paraId="059643A6" w14:textId="77777777" w:rsidR="00450804" w:rsidRPr="00F921E2" w:rsidRDefault="00450804" w:rsidP="00450804">
      <w:pPr>
        <w:spacing w:line="480" w:lineRule="auto"/>
        <w:jc w:val="both"/>
        <w:rPr>
          <w:lang w:val="en-US"/>
        </w:rPr>
      </w:pPr>
      <w:r>
        <w:rPr>
          <w:lang w:val="en-US"/>
        </w:rPr>
        <w:t>IVC, inferior vena cava; LA, left atrium; RA, right atrium; RIPV, right inferior pulmonary vein; RSPV, right superior pulmonary vein; SVC, superior vena cava.</w:t>
      </w:r>
    </w:p>
    <w:p w14:paraId="70ADE8FB" w14:textId="77777777" w:rsidR="00830DC2" w:rsidRPr="00F93735" w:rsidRDefault="00D30A7B">
      <w:pPr>
        <w:rPr>
          <w:lang w:val="en-US"/>
        </w:rPr>
      </w:pPr>
    </w:p>
    <w:sectPr w:rsidR="00830DC2" w:rsidRPr="00F93735" w:rsidSect="007F30A4">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B81EB" w14:textId="77777777" w:rsidR="004B3422" w:rsidRDefault="00B43317">
      <w:pPr>
        <w:spacing w:after="0" w:line="240" w:lineRule="auto"/>
      </w:pPr>
      <w:r>
        <w:separator/>
      </w:r>
    </w:p>
  </w:endnote>
  <w:endnote w:type="continuationSeparator" w:id="0">
    <w:p w14:paraId="588717BB" w14:textId="77777777" w:rsidR="004B3422" w:rsidRDefault="00B43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165964"/>
      <w:docPartObj>
        <w:docPartGallery w:val="Page Numbers (Bottom of Page)"/>
        <w:docPartUnique/>
      </w:docPartObj>
    </w:sdtPr>
    <w:sdtEndPr/>
    <w:sdtContent>
      <w:p w14:paraId="72D5DC54" w14:textId="513A5777" w:rsidR="00E54808" w:rsidRDefault="00450804">
        <w:pPr>
          <w:pStyle w:val="Fuzeile"/>
          <w:jc w:val="center"/>
        </w:pPr>
        <w:r>
          <w:fldChar w:fldCharType="begin"/>
        </w:r>
        <w:r>
          <w:instrText>PAGE   \* MERGEFORMAT</w:instrText>
        </w:r>
        <w:r>
          <w:fldChar w:fldCharType="separate"/>
        </w:r>
        <w:r w:rsidR="003F3B24">
          <w:rPr>
            <w:noProof/>
          </w:rPr>
          <w:t>3</w:t>
        </w:r>
        <w:r>
          <w:fldChar w:fldCharType="end"/>
        </w:r>
      </w:p>
    </w:sdtContent>
  </w:sdt>
  <w:p w14:paraId="1172820C" w14:textId="77777777" w:rsidR="00E54808" w:rsidRDefault="00D30A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54C61" w14:textId="77777777" w:rsidR="004B3422" w:rsidRDefault="00B43317">
      <w:pPr>
        <w:spacing w:after="0" w:line="240" w:lineRule="auto"/>
      </w:pPr>
      <w:r>
        <w:separator/>
      </w:r>
    </w:p>
  </w:footnote>
  <w:footnote w:type="continuationSeparator" w:id="0">
    <w:p w14:paraId="7FC14AA0" w14:textId="77777777" w:rsidR="004B3422" w:rsidRDefault="00B433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804"/>
    <w:rsid w:val="00134FE8"/>
    <w:rsid w:val="003F3B24"/>
    <w:rsid w:val="00450804"/>
    <w:rsid w:val="004B3422"/>
    <w:rsid w:val="00656D42"/>
    <w:rsid w:val="00666D68"/>
    <w:rsid w:val="008F2592"/>
    <w:rsid w:val="00B20DB7"/>
    <w:rsid w:val="00B43317"/>
    <w:rsid w:val="00E40305"/>
    <w:rsid w:val="00E51563"/>
    <w:rsid w:val="00E65078"/>
    <w:rsid w:val="00EC7112"/>
    <w:rsid w:val="00F93735"/>
    <w:rsid w:val="00FD60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FDCBE"/>
  <w15:chartTrackingRefBased/>
  <w15:docId w15:val="{3A9C5031-8955-4E84-82DF-C8E32F49F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080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50804"/>
    <w:pPr>
      <w:spacing w:after="0" w:line="240" w:lineRule="auto"/>
    </w:pPr>
  </w:style>
  <w:style w:type="paragraph" w:styleId="Fuzeile">
    <w:name w:val="footer"/>
    <w:basedOn w:val="Standard"/>
    <w:link w:val="FuzeileZchn"/>
    <w:uiPriority w:val="99"/>
    <w:unhideWhenUsed/>
    <w:rsid w:val="0045080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0804"/>
  </w:style>
  <w:style w:type="character" w:customStyle="1" w:styleId="acopre">
    <w:name w:val="acopre"/>
    <w:basedOn w:val="Absatz-Standardschriftart"/>
    <w:rsid w:val="00656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5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Universitäts-Herzzentrum Freiburg - Bad Krozingen</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Marius Bohnen</dc:creator>
  <cp:keywords/>
  <dc:description/>
  <cp:lastModifiedBy>Marius Bohnen</cp:lastModifiedBy>
  <cp:revision>11</cp:revision>
  <dcterms:created xsi:type="dcterms:W3CDTF">2022-08-26T09:59:00Z</dcterms:created>
  <dcterms:modified xsi:type="dcterms:W3CDTF">2022-09-19T10:53:00Z</dcterms:modified>
</cp:coreProperties>
</file>