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45" w:rsidRDefault="00CB4145" w:rsidP="00CB4145">
      <w:pPr>
        <w:rPr>
          <w:lang w:val="en-GB"/>
        </w:rPr>
      </w:pPr>
      <w:r>
        <w:rPr>
          <w:b/>
          <w:lang w:val="en-GB"/>
        </w:rPr>
        <w:t>Appendix</w:t>
      </w:r>
      <w:r w:rsidRPr="00D84A05">
        <w:rPr>
          <w:b/>
          <w:lang w:val="en-GB"/>
        </w:rPr>
        <w:t xml:space="preserve"> S</w:t>
      </w:r>
      <w:r>
        <w:rPr>
          <w:b/>
          <w:lang w:val="en-GB"/>
        </w:rPr>
        <w:t>6</w:t>
      </w:r>
      <w:bookmarkStart w:id="0" w:name="_GoBack"/>
      <w:bookmarkEnd w:id="0"/>
      <w:r w:rsidRPr="00D84A05">
        <w:rPr>
          <w:b/>
          <w:lang w:val="en-GB"/>
        </w:rPr>
        <w:t>:</w:t>
      </w:r>
      <w:r>
        <w:rPr>
          <w:lang w:val="en-GB"/>
        </w:rPr>
        <w:t xml:space="preserve"> Species richness of </w:t>
      </w:r>
      <w:r w:rsidRPr="004C5551">
        <w:rPr>
          <w:lang w:val="en-GB"/>
        </w:rPr>
        <w:t xml:space="preserve">social and solitary wild bees in the enhancement measures across the season separated per year. Shown are boxplots per month and year (outliers not shown). </w:t>
      </w:r>
      <w:r>
        <w:rPr>
          <w:lang w:val="en-GB"/>
        </w:rPr>
        <w:t>The y-axis shows the mean species richness per</w:t>
      </w:r>
      <w:r w:rsidRPr="004C5551">
        <w:rPr>
          <w:lang w:val="en-GB"/>
        </w:rPr>
        <w:t xml:space="preserve"> observation</w:t>
      </w:r>
      <w:r>
        <w:rPr>
          <w:lang w:val="en-GB"/>
        </w:rPr>
        <w:t xml:space="preserve"> (number of bee species per month divided by number of observations). </w:t>
      </w:r>
      <w:r w:rsidRPr="004C5551">
        <w:rPr>
          <w:lang w:val="en-GB"/>
        </w:rPr>
        <w:t>Lines connect medians. Letters indicate results of multiple comparisons (</w:t>
      </w:r>
      <w:proofErr w:type="spellStart"/>
      <w:r>
        <w:rPr>
          <w:lang w:val="en-GB"/>
        </w:rPr>
        <w:t>em</w:t>
      </w:r>
      <w:r w:rsidRPr="004C5551">
        <w:rPr>
          <w:lang w:val="en-GB"/>
        </w:rPr>
        <w:t>means</w:t>
      </w:r>
      <w:proofErr w:type="spellEnd"/>
      <w:r w:rsidRPr="004C5551">
        <w:rPr>
          <w:lang w:val="en-GB"/>
        </w:rPr>
        <w:t>); years with distinct letters were significantly different from each other. If no letters are indicated, the years did not differ significantly.</w:t>
      </w:r>
    </w:p>
    <w:p w:rsidR="00CB4145" w:rsidRDefault="00CB4145" w:rsidP="00CB4145">
      <w:pPr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1CAEECD2" wp14:editId="7DBFFDF1">
            <wp:extent cx="6407785" cy="45370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53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1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B9"/>
    <w:rsid w:val="00177CB7"/>
    <w:rsid w:val="00224740"/>
    <w:rsid w:val="0067692A"/>
    <w:rsid w:val="00703E74"/>
    <w:rsid w:val="00881E69"/>
    <w:rsid w:val="00C64C7F"/>
    <w:rsid w:val="00CB4145"/>
    <w:rsid w:val="00D732A7"/>
    <w:rsid w:val="00E133B9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275F"/>
  <w15:chartTrackingRefBased/>
  <w15:docId w15:val="{B8F54882-23A5-4069-92C7-7DC99C51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7CB7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-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3</cp:revision>
  <dcterms:created xsi:type="dcterms:W3CDTF">2022-08-05T09:19:00Z</dcterms:created>
  <dcterms:modified xsi:type="dcterms:W3CDTF">2022-08-05T09:28:00Z</dcterms:modified>
</cp:coreProperties>
</file>