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7EEE6" w14:textId="77777777" w:rsidR="00654E8F" w:rsidRPr="001549D3" w:rsidRDefault="00654E8F" w:rsidP="0001436A">
      <w:pPr>
        <w:pStyle w:val="SupplementaryMaterial"/>
        <w:rPr>
          <w:b w:val="0"/>
        </w:rPr>
      </w:pPr>
      <w:r w:rsidRPr="001549D3">
        <w:t>Supplementary Material</w:t>
      </w:r>
    </w:p>
    <w:p w14:paraId="4850D379" w14:textId="4777AC45" w:rsidR="00D7686B" w:rsidRDefault="00D7686B" w:rsidP="00D7686B">
      <w:pPr>
        <w:pStyle w:val="Heading1"/>
      </w:pPr>
      <w:r>
        <w:t>Supplementary Methods</w:t>
      </w:r>
    </w:p>
    <w:p w14:paraId="476BA73C" w14:textId="42300C33" w:rsidR="00D7686B" w:rsidRPr="003B3833" w:rsidRDefault="00D7686B" w:rsidP="00D7686B">
      <w:pPr>
        <w:pStyle w:val="Heading2"/>
      </w:pPr>
      <w:r w:rsidRPr="003B3833">
        <w:t xml:space="preserve">Screening for </w:t>
      </w:r>
      <w:r>
        <w:t xml:space="preserve">Patent Foramen </w:t>
      </w:r>
      <w:proofErr w:type="spellStart"/>
      <w:r>
        <w:t>Ovale</w:t>
      </w:r>
      <w:proofErr w:type="spellEnd"/>
      <w:r>
        <w:t xml:space="preserve"> (PFO)</w:t>
      </w:r>
    </w:p>
    <w:p w14:paraId="07FB899C" w14:textId="57DC936E" w:rsidR="00D7686B" w:rsidRPr="00AB49CB" w:rsidRDefault="00D7686B" w:rsidP="00D7686B">
      <w:r w:rsidRPr="00B9163F">
        <w:t xml:space="preserve">For non-invasive PFO detection or exclusion, we performed a </w:t>
      </w:r>
      <w:r>
        <w:t>transcranial Doppler (TCD)</w:t>
      </w:r>
      <w:r w:rsidRPr="00B9163F">
        <w:t xml:space="preserve"> bubble test in all patients</w:t>
      </w:r>
      <w:r>
        <w:t>, once</w:t>
      </w:r>
      <w:r w:rsidRPr="00B9163F">
        <w:t xml:space="preserve"> at rest and </w:t>
      </w:r>
      <w:r>
        <w:t xml:space="preserve">once </w:t>
      </w:r>
      <w:r w:rsidRPr="00B9163F">
        <w:t>while performing an active Valsalva maneuver. We used a modified approach of the examination consensus</w:t>
      </w:r>
      <w:r w:rsidRPr="00B9163F">
        <w:fldChar w:fldCharType="begin"/>
      </w:r>
      <w:r w:rsidR="00207915">
        <w:instrText xml:space="preserve"> ADDIN EN.CITE &lt;EndNote&gt;&lt;Cite&gt;&lt;Author&gt;Jauss&lt;/Author&gt;&lt;Year&gt;2000&lt;/Year&gt;&lt;RecNum&gt;49&lt;/RecNum&gt;&lt;DisplayText&gt;&lt;style face="superscript"&gt;1&lt;/style&gt;&lt;/DisplayText&gt;&lt;record&gt;&lt;rec-number&gt;49&lt;/rec-number&gt;&lt;foreign-keys&gt;&lt;key app="EN" db-id="epvr0s2puf55w1esr085txs8z59zzf92wr0e" timestamp="1619361775"&gt;49&lt;/key&gt;&lt;/foreign-keys&gt;&lt;ref-type name="Journal Article"&gt;17&lt;/ref-type&gt;&lt;contributors&gt;&lt;authors&gt;&lt;author&gt;Jauss, M.&lt;/author&gt;&lt;author&gt;Zanette, E.&lt;/author&gt;&lt;/authors&gt;&lt;/contributors&gt;&lt;auth-address&gt;Department of Neurology, University of Giessen, Germany. marek.jauss@neuro.med.uni-giessen.de&lt;/auth-address&gt;&lt;titles&gt;&lt;title&gt;Detection of right-to-left shunt with ultrasound contrast agent and transcranial Doppler sonography&lt;/title&gt;&lt;secondary-title&gt;Cerebrovasc Dis&lt;/secondary-title&gt;&lt;/titles&gt;&lt;periodical&gt;&lt;full-title&gt;Cerebrovasc Dis&lt;/full-title&gt;&lt;/periodical&gt;&lt;pages&gt;490-6&lt;/pages&gt;&lt;volume&gt;10&lt;/volume&gt;&lt;number&gt;6&lt;/number&gt;&lt;edition&gt;2000/11/09&lt;/edition&gt;&lt;keywords&gt;&lt;keyword&gt;Cerebrovascular Circulation&lt;/keyword&gt;&lt;keyword&gt;Contrast Media&lt;/keyword&gt;&lt;keyword&gt;Heart Septal Defects, Atrial/*diagnostic imaging&lt;/keyword&gt;&lt;keyword&gt;Humans&lt;/keyword&gt;&lt;keyword&gt;Sensitivity and Specificity&lt;/keyword&gt;&lt;keyword&gt;Stroke/*diagnostic imaging&lt;/keyword&gt;&lt;keyword&gt;*Ultrasonography, Doppler, Transcranial&lt;/keyword&gt;&lt;keyword&gt;Valsalva Maneuver&lt;/keyword&gt;&lt;/keywords&gt;&lt;dates&gt;&lt;year&gt;2000&lt;/year&gt;&lt;pub-dates&gt;&lt;date&gt;Nov-Dec&lt;/date&gt;&lt;/pub-dates&gt;&lt;/dates&gt;&lt;isbn&gt;1015-9770 (Print)&amp;#xD;1015-9770 (Linking)&lt;/isbn&gt;&lt;accession-num&gt;11070388&lt;/accession-num&gt;&lt;urls&gt;&lt;related-urls&gt;&lt;url&gt;https://www.ncbi.nlm.nih.gov/pubmed/11070388&lt;/url&gt;&lt;/related-urls&gt;&lt;/urls&gt;&lt;electronic-resource-num&gt;10.1159/000016119&lt;/electronic-resource-num&gt;&lt;/record&gt;&lt;/Cite&gt;&lt;/EndNote&gt;</w:instrText>
      </w:r>
      <w:r w:rsidRPr="00B9163F">
        <w:fldChar w:fldCharType="separate"/>
      </w:r>
      <w:r w:rsidR="00207915" w:rsidRPr="00207915">
        <w:rPr>
          <w:noProof/>
          <w:vertAlign w:val="superscript"/>
        </w:rPr>
        <w:t>1</w:t>
      </w:r>
      <w:r w:rsidRPr="00B9163F">
        <w:fldChar w:fldCharType="end"/>
      </w:r>
      <w:r w:rsidRPr="00B9163F">
        <w:t xml:space="preserve"> to improve the test sensitivity by adding 1 ml </w:t>
      </w:r>
      <w:r>
        <w:t xml:space="preserve">of </w:t>
      </w:r>
      <w:r w:rsidRPr="00B9163F">
        <w:t>fresh patient blood to the agitated solution</w:t>
      </w:r>
      <w:r>
        <w:t xml:space="preserve"> as suggested earlier</w:t>
      </w:r>
      <w:r w:rsidRPr="00B9163F">
        <w:fldChar w:fldCharType="begin">
          <w:fldData xml:space="preserve">PEVuZE5vdGU+PENpdGU+PEF1dGhvcj5HZW50aWxlPC9BdXRob3I+PFllYXI+MjAxNDwvWWVhcj48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</w:fldData>
        </w:fldChar>
      </w:r>
      <w:r w:rsidR="00207915">
        <w:instrText xml:space="preserve"> ADDIN EN.CITE </w:instrText>
      </w:r>
      <w:r w:rsidR="00207915">
        <w:fldChar w:fldCharType="begin">
          <w:fldData xml:space="preserve">PEVuZE5vdGU+PENpdGU+PEF1dGhvcj5HZW50aWxlPC9BdXRob3I+PFllYXI+MjAxNDwvWWVhcj48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</w:fldData>
        </w:fldChar>
      </w:r>
      <w:r w:rsidR="00207915">
        <w:instrText xml:space="preserve"> ADDIN EN.CITE.DATA </w:instrText>
      </w:r>
      <w:r w:rsidR="00207915">
        <w:fldChar w:fldCharType="end"/>
      </w:r>
      <w:r w:rsidRPr="00B9163F">
        <w:fldChar w:fldCharType="separate"/>
      </w:r>
      <w:r w:rsidR="00207915" w:rsidRPr="00207915">
        <w:rPr>
          <w:noProof/>
          <w:vertAlign w:val="superscript"/>
        </w:rPr>
        <w:t>2,3</w:t>
      </w:r>
      <w:r w:rsidRPr="00B9163F">
        <w:fldChar w:fldCharType="end"/>
      </w:r>
      <w:r w:rsidRPr="00B9163F">
        <w:t xml:space="preserve">. First, the right middle cerebral artery was identified with transcranial 2D color-coded duplex sonography and the Doppler velocity spectrum was measured using pulse-waved Doppler ultrasound. Patients were trained to undertake an efficient Valsalva maneuver which was </w:t>
      </w:r>
      <w:r>
        <w:t>ruled</w:t>
      </w:r>
      <w:r w:rsidRPr="00B9163F">
        <w:t xml:space="preserve"> sufficient in case of </w:t>
      </w:r>
      <w:r>
        <w:t>significant</w:t>
      </w:r>
      <w:r w:rsidRPr="00B9163F">
        <w:t xml:space="preserve"> decrease in the Doppler velocity spectrum</w:t>
      </w:r>
      <w:r w:rsidRPr="00B9163F">
        <w:fldChar w:fldCharType="begin"/>
      </w:r>
      <w:r w:rsidR="00207915">
        <w:instrText xml:space="preserve"> ADDIN EN.CITE &lt;EndNote&gt;&lt;Cite&gt;&lt;Author&gt;Tiecks&lt;/Author&gt;&lt;Year&gt;1995&lt;/Year&gt;&lt;RecNum&gt;52&lt;/RecNum&gt;&lt;DisplayText&gt;&lt;style face="superscript"&gt;4&lt;/style&gt;&lt;/DisplayText&gt;&lt;record&gt;&lt;rec-number&gt;52&lt;/rec-number&gt;&lt;foreign-keys&gt;&lt;key app="EN" db-id="epvr0s2puf55w1esr085txs8z59zzf92wr0e" timestamp="1622926039"&gt;52&lt;/key&gt;&lt;/foreign-keys&gt;&lt;ref-type name="Journal Article"&gt;17&lt;/ref-type&gt;&lt;contributors&gt;&lt;authors&gt;&lt;author&gt;Tiecks, F. P.&lt;/author&gt;&lt;author&gt;Lam, A. M.&lt;/author&gt;&lt;author&gt;Matta, B. F.&lt;/author&gt;&lt;author&gt;Strebel, S.&lt;/author&gt;&lt;author&gt;Douville, C.&lt;/author&gt;&lt;author&gt;Newell, D. W.&lt;/author&gt;&lt;/authors&gt;&lt;/contributors&gt;&lt;auth-address&gt;Department of Anesthesiology, University of Washington School of Medicine, Harborview Medical Center, Seattle 98104, USA.&lt;/auth-address&gt;&lt;titles&gt;&lt;title&gt;Effects of the valsalva maneuver on cerebral circulation in healthy adults. A transcranial Doppler Study&lt;/title&gt;&lt;secondary-title&gt;Stroke&lt;/secondary-title&gt;&lt;/titles&gt;&lt;periodical&gt;&lt;full-title&gt;Stroke&lt;/full-title&gt;&lt;/periodical&gt;&lt;pages&gt;1386-92&lt;/pages&gt;&lt;volume&gt;26&lt;/volume&gt;&lt;number&gt;8&lt;/number&gt;&lt;edition&gt;1995/08/01&lt;/edition&gt;&lt;keywords&gt;&lt;keyword&gt;Adult&lt;/keyword&gt;&lt;keyword&gt;Blood Flow Velocity&lt;/keyword&gt;&lt;keyword&gt;Blood Pressure&lt;/keyword&gt;&lt;keyword&gt;Cerebrovascular Circulation/*physiology&lt;/keyword&gt;&lt;keyword&gt;Female&lt;/keyword&gt;&lt;keyword&gt;Humans&lt;/keyword&gt;&lt;keyword&gt;Male&lt;/keyword&gt;&lt;keyword&gt;Ultrasonography, Doppler, Transcranial&lt;/keyword&gt;&lt;keyword&gt;*Valsalva Maneuver&lt;/keyword&gt;&lt;/keywords&gt;&lt;dates&gt;&lt;year&gt;1995&lt;/year&gt;&lt;pub-dates&gt;&lt;date&gt;Aug&lt;/date&gt;&lt;/pub-dates&gt;&lt;/dates&gt;&lt;isbn&gt;0039-2499 (Print)&amp;#xD;0039-2499 (Linking)&lt;/isbn&gt;&lt;accession-num&gt;7631342&lt;/accession-num&gt;&lt;urls&gt;&lt;related-urls&gt;&lt;url&gt;https://www.ncbi.nlm.nih.gov/pubmed/7631342&lt;/url&gt;&lt;/related-urls&gt;&lt;/urls&gt;&lt;electronic-resource-num&gt;10.1161/01.str.26.8.1386&lt;/electronic-resource-num&gt;&lt;/record&gt;&lt;/Cite&gt;&lt;/EndNote&gt;</w:instrText>
      </w:r>
      <w:r w:rsidRPr="00B9163F">
        <w:fldChar w:fldCharType="separate"/>
      </w:r>
      <w:r w:rsidR="00207915" w:rsidRPr="00207915">
        <w:rPr>
          <w:noProof/>
          <w:vertAlign w:val="superscript"/>
        </w:rPr>
        <w:t>4</w:t>
      </w:r>
      <w:r w:rsidRPr="00B9163F">
        <w:fldChar w:fldCharType="end"/>
      </w:r>
      <w:r w:rsidRPr="00B9163F">
        <w:t xml:space="preserve">. An agitated microbubble solution consisting of 8 ml </w:t>
      </w:r>
      <w:r>
        <w:t xml:space="preserve">of </w:t>
      </w:r>
      <w:r w:rsidRPr="00B9163F">
        <w:t xml:space="preserve">sterile saline, 1 ml </w:t>
      </w:r>
      <w:r>
        <w:t xml:space="preserve">of </w:t>
      </w:r>
      <w:r w:rsidRPr="00B9163F">
        <w:t>fresh patien</w:t>
      </w:r>
      <w:r>
        <w:t>t</w:t>
      </w:r>
      <w:r w:rsidRPr="00B9163F">
        <w:t xml:space="preserve"> blood and 1 ml </w:t>
      </w:r>
      <w:r>
        <w:t xml:space="preserve">of </w:t>
      </w:r>
      <w:r w:rsidRPr="00B9163F">
        <w:t xml:space="preserve">air was injected in the right cubital vein. </w:t>
      </w:r>
      <w:r>
        <w:t>If the</w:t>
      </w:r>
      <w:r w:rsidRPr="00B9163F">
        <w:t xml:space="preserve"> right cubical vein was not accessible, a nearby vein </w:t>
      </w:r>
      <w:r>
        <w:t>of</w:t>
      </w:r>
      <w:r w:rsidRPr="00B9163F">
        <w:t xml:space="preserve"> the right arm </w:t>
      </w:r>
      <w:r>
        <w:t>or, in a small number of cases</w:t>
      </w:r>
      <w:r w:rsidRPr="00B9163F">
        <w:t xml:space="preserve">, the left cubital vein </w:t>
      </w:r>
      <w:r>
        <w:t>was used alternatively</w:t>
      </w:r>
      <w:r w:rsidRPr="00B9163F">
        <w:t xml:space="preserve">. The first </w:t>
      </w:r>
      <w:r>
        <w:t>trial</w:t>
      </w:r>
      <w:r w:rsidRPr="00B9163F">
        <w:t xml:space="preserve"> was carried out at rest, and after </w:t>
      </w:r>
      <w:r>
        <w:t xml:space="preserve">a </w:t>
      </w:r>
      <w:r w:rsidRPr="00B9163F">
        <w:t>break</w:t>
      </w:r>
      <w:r>
        <w:t xml:space="preserve"> of </w:t>
      </w:r>
      <w:r w:rsidRPr="00B9163F">
        <w:t>at least one</w:t>
      </w:r>
      <w:r>
        <w:t xml:space="preserve"> </w:t>
      </w:r>
      <w:r w:rsidRPr="00B9163F">
        <w:t xml:space="preserve">minute, </w:t>
      </w:r>
      <w:r>
        <w:t>a</w:t>
      </w:r>
      <w:r w:rsidRPr="00B9163F">
        <w:t xml:space="preserve"> second </w:t>
      </w:r>
      <w:r>
        <w:t>trial</w:t>
      </w:r>
      <w:r w:rsidRPr="00B9163F">
        <w:t xml:space="preserve"> was carried out </w:t>
      </w:r>
      <w:r>
        <w:t>following</w:t>
      </w:r>
      <w:r w:rsidRPr="00B9163F">
        <w:t xml:space="preserve"> a Valsalva maneuver for a maximum of ten seconds</w:t>
      </w:r>
      <w:r>
        <w:t xml:space="preserve"> that</w:t>
      </w:r>
      <w:r w:rsidRPr="00B9163F">
        <w:t xml:space="preserve"> start</w:t>
      </w:r>
      <w:r>
        <w:t>ed</w:t>
      </w:r>
      <w:r w:rsidRPr="00B9163F">
        <w:t xml:space="preserve"> five seconds after injection. Quantification of </w:t>
      </w:r>
      <w:r>
        <w:t>Right-to-Left Shunt (</w:t>
      </w:r>
      <w:r w:rsidRPr="00B9163F">
        <w:t>RLS</w:t>
      </w:r>
      <w:r>
        <w:t>)</w:t>
      </w:r>
      <w:r w:rsidRPr="00B9163F">
        <w:t xml:space="preserve"> was based on the visual and audible detection of micro-embolic high-intensity signals (HITS) on the Doppler blood flow-velocity spectrum of the right </w:t>
      </w:r>
      <w:r>
        <w:t>middle cerebral artery</w:t>
      </w:r>
      <w:r w:rsidRPr="00B9163F">
        <w:t xml:space="preserve"> within 14 seconds after injection and </w:t>
      </w:r>
      <w:r>
        <w:t>divided</w:t>
      </w:r>
      <w:r w:rsidRPr="00B9163F">
        <w:t xml:space="preserve"> into four categories: none (no HITS), small (1-</w:t>
      </w:r>
      <w:r>
        <w:t>9</w:t>
      </w:r>
      <w:r w:rsidRPr="00B9163F">
        <w:t xml:space="preserve"> HITS), moderate (10 or more HITS), and large (“curtain effect”: embolic shower without </w:t>
      </w:r>
      <w:r>
        <w:t>discernible</w:t>
      </w:r>
      <w:r w:rsidRPr="00B9163F">
        <w:t xml:space="preserve"> number of HITS). Bubble test was considered positive if there was one HITS or more either at rest or under Valsalva </w:t>
      </w:r>
      <w:r w:rsidRPr="003E375C">
        <w:t>maneuver (se</w:t>
      </w:r>
      <w:r>
        <w:t>e Figure 1)</w:t>
      </w:r>
      <w:r w:rsidRPr="003E375C">
        <w:t>.</w:t>
      </w:r>
      <w:r w:rsidRPr="00B9163F">
        <w:t xml:space="preserve"> </w:t>
      </w:r>
    </w:p>
    <w:p w14:paraId="57DACCDC" w14:textId="77777777" w:rsidR="00D7686B" w:rsidRPr="0024754F" w:rsidRDefault="00D7686B" w:rsidP="00D7686B">
      <w:pPr>
        <w:pStyle w:val="Heading2"/>
      </w:pPr>
      <w:r w:rsidRPr="0024754F">
        <w:t>Ascertainment of cardiovascular risk factors</w:t>
      </w:r>
    </w:p>
    <w:p w14:paraId="7FF1EDAF" w14:textId="2DF6318D" w:rsidR="00D7686B" w:rsidRDefault="00D7686B" w:rsidP="00D7686B">
      <w:r w:rsidRPr="00B9163F">
        <w:t xml:space="preserve">Overweight and obesity were classified according to the </w:t>
      </w:r>
      <w:r>
        <w:t>W</w:t>
      </w:r>
      <w:r w:rsidRPr="00B9163F">
        <w:t xml:space="preserve">orld </w:t>
      </w:r>
      <w:r>
        <w:t>H</w:t>
      </w:r>
      <w:r w:rsidRPr="00B9163F">
        <w:t xml:space="preserve">ealth </w:t>
      </w:r>
      <w:r>
        <w:t>O</w:t>
      </w:r>
      <w:r w:rsidRPr="00B9163F">
        <w:t>rganization</w:t>
      </w:r>
      <w:r>
        <w:t xml:space="preserve"> </w:t>
      </w:r>
      <w:r w:rsidRPr="00B9163F">
        <w:t>definition by calculating the body mass index (BMI)</w:t>
      </w:r>
      <w:r w:rsidRPr="00B9163F">
        <w:fldChar w:fldCharType="begin"/>
      </w:r>
      <w:r w:rsidR="00207915">
        <w:instrText xml:space="preserve"> ADDIN EN.CITE &lt;EndNote&gt;&lt;Cite&gt;&lt;Author&gt;World Health Organization&lt;/Author&gt;&lt;Year&gt;2021&lt;/Year&gt;&lt;RecNum&gt;66&lt;/RecNum&gt;&lt;DisplayText&gt;&lt;style face="superscript"&gt;5&lt;/style&gt;&lt;/DisplayText&gt;&lt;record&gt;&lt;rec-number&gt;66&lt;/rec-number&gt;&lt;foreign-keys&gt;&lt;key app="EN" db-id="epvr0s2puf55w1esr085txs8z59zzf92wr0e" timestamp="1623929551"&gt;66&lt;/key&gt;&lt;/foreign-keys&gt;&lt;ref-type name="Web Page"&gt;12&lt;/ref-type&gt;&lt;contributors&gt;&lt;authors&gt;&lt;author&gt;World Health Organization,&lt;/author&gt;&lt;/authors&gt;&lt;/contributors&gt;&lt;titles&gt;&lt;title&gt;Obesity: https://www.who.int/health-topics/obesity, Accessed 06/17/2021&lt;/title&gt;&lt;/titles&gt;&lt;volume&gt;2021&lt;/volume&gt;&lt;dates&gt;&lt;year&gt;2021&lt;/year&gt;&lt;/dates&gt;&lt;publisher&gt;WHO&lt;/publisher&gt;&lt;urls&gt;&lt;related-urls&gt;&lt;url&gt;https://www.who.int/health-topics/obesity&lt;/url&gt;&lt;/related-urls&gt;&lt;/urls&gt;&lt;custom1&gt;2021&lt;/custom1&gt;&lt;custom2&gt;17. Juni 2021&lt;/custom2&gt;&lt;/record&gt;&lt;/Cite&gt;&lt;/EndNote&gt;</w:instrText>
      </w:r>
      <w:r w:rsidRPr="00B9163F">
        <w:fldChar w:fldCharType="separate"/>
      </w:r>
      <w:r w:rsidR="00207915" w:rsidRPr="00207915">
        <w:rPr>
          <w:noProof/>
          <w:vertAlign w:val="superscript"/>
        </w:rPr>
        <w:t>5</w:t>
      </w:r>
      <w:r w:rsidRPr="00B9163F">
        <w:fldChar w:fldCharType="end"/>
      </w:r>
      <w:r w:rsidRPr="00B9163F">
        <w:t xml:space="preserve">. Due to the frequent temporary hypertension in acute stroke, hypertension was only considered as a risk factor if present and treated before stroke or newly diagnosed with other distinct signs of chronic hypertension (e.g., </w:t>
      </w:r>
      <w:r w:rsidRPr="0079181E">
        <w:t>hypertrophic</w:t>
      </w:r>
      <w:r w:rsidRPr="00B9163F">
        <w:t xml:space="preserve"> left ventricle, cerebral white matter disease). Diabetes was defined as known diabetes or presence of one of the following: HbA</w:t>
      </w:r>
      <w:r w:rsidRPr="00B9163F">
        <w:rPr>
          <w:vertAlign w:val="subscript"/>
        </w:rPr>
        <w:t>1c</w:t>
      </w:r>
      <w:r w:rsidRPr="00B9163F">
        <w:t xml:space="preserve"> &gt;6.5%, fasting blood glucose </w:t>
      </w:r>
      <w:r>
        <w:t>&gt;</w:t>
      </w:r>
      <w:r w:rsidRPr="00B9163F">
        <w:t xml:space="preserve">6.9 mmol/l (125 mg/dl), or anytime blood glucose </w:t>
      </w:r>
      <w:r>
        <w:t>&gt;</w:t>
      </w:r>
      <w:r w:rsidRPr="00B9163F">
        <w:t>11.1 mmol/l (200mg/dl)</w:t>
      </w:r>
      <w:r w:rsidRPr="00B9163F">
        <w:fldChar w:fldCharType="begin"/>
      </w:r>
      <w:r w:rsidR="00207915">
        <w:instrText xml:space="preserve"> ADDIN EN.CITE &lt;EndNote&gt;&lt;Cite&gt;&lt;Author&gt;American Diabetes Association&lt;/Author&gt;&lt;Year&gt;2020&lt;/Year&gt;&lt;RecNum&gt;68&lt;/RecNum&gt;&lt;DisplayText&gt;&lt;style face="superscript"&gt;6&lt;/style&gt;&lt;/DisplayText&gt;&lt;record&gt;&lt;rec-number&gt;68&lt;/rec-number&gt;&lt;foreign-keys&gt;&lt;key app="EN" db-id="epvr0s2puf55w1esr085txs8z59zzf92wr0e" timestamp="1623930518"&gt;68&lt;/key&gt;&lt;/foreign-keys&gt;&lt;ref-type name="Journal Article"&gt;17&lt;/ref-type&gt;&lt;contributors&gt;&lt;authors&gt;&lt;author&gt;American Diabetes Association,&lt;/author&gt;&lt;/authors&gt;&lt;/contributors&gt;&lt;titles&gt;&lt;title&gt;2. Classification and Diagnosis of Diabetes: Standards of Medical Care in Diabetes-2020&lt;/title&gt;&lt;secondary-title&gt;Diabetes Care&lt;/secondary-title&gt;&lt;/titles&gt;&lt;periodical&gt;&lt;full-title&gt;Diabetes Care&lt;/full-title&gt;&lt;/periodical&gt;&lt;pages&gt;S14-S31&lt;/pages&gt;&lt;volume&gt;43&lt;/volume&gt;&lt;number&gt;Suppl 1&lt;/number&gt;&lt;edition&gt;2019/12/22&lt;/edition&gt;&lt;keywords&gt;&lt;keyword&gt;Diabetes Mellitus/*classification/*diagnosis/therapy&lt;/keyword&gt;&lt;keyword&gt;Endocrinology/methods/organization &amp;amp; administration/*standards/trends&lt;/keyword&gt;&lt;keyword&gt;History, 21st Century&lt;/keyword&gt;&lt;keyword&gt;Humans&lt;/keyword&gt;&lt;keyword&gt;Reference Standards&lt;/keyword&gt;&lt;keyword&gt;Societies, Medical/organization &amp;amp; administration/standards&lt;/keyword&gt;&lt;keyword&gt;Standard of Care/standards&lt;/keyword&gt;&lt;keyword&gt;United States/epidemiology&lt;/keyword&gt;&lt;/keywords&gt;&lt;dates&gt;&lt;year&gt;2020&lt;/year&gt;&lt;pub-dates&gt;&lt;date&gt;Jan&lt;/date&gt;&lt;/pub-dates&gt;&lt;/dates&gt;&lt;isbn&gt;1935-5548 (Electronic)&amp;#xD;0149-5992 (Linking)&lt;/isbn&gt;&lt;accession-num&gt;31862745&lt;/accession-num&gt;&lt;urls&gt;&lt;related-urls&gt;&lt;url&gt;https://www.ncbi.nlm.nih.gov/pubmed/31862745&lt;/url&gt;&lt;/related-urls&gt;&lt;/urls&gt;&lt;electronic-resource-num&gt;10.2337/dc20-S002&lt;/electronic-resource-num&gt;&lt;/record&gt;&lt;/Cite&gt;&lt;/EndNote&gt;</w:instrText>
      </w:r>
      <w:r w:rsidRPr="00B9163F">
        <w:fldChar w:fldCharType="separate"/>
      </w:r>
      <w:r w:rsidR="00207915" w:rsidRPr="00207915">
        <w:rPr>
          <w:noProof/>
          <w:vertAlign w:val="superscript"/>
        </w:rPr>
        <w:t>6</w:t>
      </w:r>
      <w:r w:rsidRPr="00B9163F">
        <w:fldChar w:fldCharType="end"/>
      </w:r>
      <w:r w:rsidRPr="00B9163F">
        <w:t>. Dyslipidemia was defined as one of: fasting low-density lipoprotein (LDL) &gt;</w:t>
      </w:r>
      <w:r>
        <w:t>4.14 mmol/l (</w:t>
      </w:r>
      <w:r w:rsidRPr="00B9163F">
        <w:t>160 mg/dl</w:t>
      </w:r>
      <w:r>
        <w:t>)</w:t>
      </w:r>
      <w:r w:rsidRPr="00B9163F">
        <w:t>, high-density lipoprotein (HDL) &lt;</w:t>
      </w:r>
      <w:r>
        <w:t>1.03 mmol/l (</w:t>
      </w:r>
      <w:r w:rsidRPr="00B9163F">
        <w:t>40 mg/dl</w:t>
      </w:r>
      <w:r>
        <w:t>)</w:t>
      </w:r>
      <w:r w:rsidRPr="00B9163F">
        <w:t>, triglycerides &gt;</w:t>
      </w:r>
      <w:r>
        <w:t>1.70 mmol/l (</w:t>
      </w:r>
      <w:r w:rsidRPr="00B9163F">
        <w:t>150 mg/dl</w:t>
      </w:r>
      <w:r>
        <w:t>)</w:t>
      </w:r>
      <w:r w:rsidRPr="00B9163F">
        <w:t>, or total cholesterol &gt;</w:t>
      </w:r>
      <w:r>
        <w:t>5.17 mmol/l (</w:t>
      </w:r>
      <w:r w:rsidRPr="00B9163F">
        <w:t>200 mg/dl</w:t>
      </w:r>
      <w:r>
        <w:t>)</w:t>
      </w:r>
      <w:r w:rsidRPr="00B9163F">
        <w:fldChar w:fldCharType="begin">
          <w:fldData xml:space="preserve">PEVuZE5vdGU+PENpdGU+PEF1dGhvcj5OYXRpb25hbCBDaG9sZXN0ZXJvbCBFZHVjYXRpb24gUHJv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</w:fldData>
        </w:fldChar>
      </w:r>
      <w:r w:rsidR="00207915">
        <w:instrText xml:space="preserve"> ADDIN EN.CITE </w:instrText>
      </w:r>
      <w:r w:rsidR="00207915">
        <w:fldChar w:fldCharType="begin">
          <w:fldData xml:space="preserve">PEVuZE5vdGU+PENpdGU+PEF1dGhvcj5OYXRpb25hbCBDaG9sZXN0ZXJvbCBFZHVjYXRpb24gUHJv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</w:fldData>
        </w:fldChar>
      </w:r>
      <w:r w:rsidR="00207915">
        <w:instrText xml:space="preserve"> ADDIN EN.CITE.DATA </w:instrText>
      </w:r>
      <w:r w:rsidR="00207915">
        <w:fldChar w:fldCharType="end"/>
      </w:r>
      <w:r w:rsidRPr="00B9163F">
        <w:fldChar w:fldCharType="separate"/>
      </w:r>
      <w:r w:rsidR="00207915" w:rsidRPr="00207915">
        <w:rPr>
          <w:noProof/>
          <w:vertAlign w:val="superscript"/>
        </w:rPr>
        <w:t>7</w:t>
      </w:r>
      <w:r w:rsidRPr="00B9163F">
        <w:fldChar w:fldCharType="end"/>
      </w:r>
      <w:r w:rsidRPr="00B9163F">
        <w:t>. Positive family history was defined as stroke or myocardial infarction before 55 years of age in father or in other male first degree relative, or before 65 years of age in mother of other female first degree relative</w:t>
      </w:r>
      <w:r w:rsidRPr="00B9163F">
        <w:fldChar w:fldCharType="begin">
          <w:fldData xml:space="preserve">PEVuZE5vdGU+PENpdGU+PEF1dGhvcj5OYXRpb25hbCBDaG9sZXN0ZXJvbCBFZHVjYXRpb24gUHJv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</w:fldData>
        </w:fldChar>
      </w:r>
      <w:r w:rsidR="00207915">
        <w:instrText xml:space="preserve"> ADDIN EN.CITE </w:instrText>
      </w:r>
      <w:r w:rsidR="00207915">
        <w:fldChar w:fldCharType="begin">
          <w:fldData xml:space="preserve">PEVuZE5vdGU+PENpdGU+PEF1dGhvcj5OYXRpb25hbCBDaG9sZXN0ZXJvbCBFZHVjYXRpb24gUHJv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</w:fldData>
        </w:fldChar>
      </w:r>
      <w:r w:rsidR="00207915">
        <w:instrText xml:space="preserve"> ADDIN EN.CITE.DATA </w:instrText>
      </w:r>
      <w:r w:rsidR="00207915">
        <w:fldChar w:fldCharType="end"/>
      </w:r>
      <w:r w:rsidRPr="00B9163F">
        <w:fldChar w:fldCharType="separate"/>
      </w:r>
      <w:r w:rsidR="00207915" w:rsidRPr="00207915">
        <w:rPr>
          <w:noProof/>
          <w:vertAlign w:val="superscript"/>
        </w:rPr>
        <w:t>7</w:t>
      </w:r>
      <w:r w:rsidRPr="00B9163F">
        <w:fldChar w:fldCharType="end"/>
      </w:r>
      <w:r w:rsidRPr="00B9163F">
        <w:t xml:space="preserve">. Smoking and prevalence of cardiovascular and peripheral artery disease were obtained from patients’ history and charts. </w:t>
      </w:r>
      <w:bookmarkStart w:id="0" w:name="_Toc80783193"/>
    </w:p>
    <w:p w14:paraId="00FE4982" w14:textId="4E12EC44" w:rsidR="00D7686B" w:rsidRDefault="00D7686B" w:rsidP="00D7686B"/>
    <w:p w14:paraId="46FEC844" w14:textId="77777777" w:rsidR="00D7686B" w:rsidRDefault="00D7686B" w:rsidP="00D7686B"/>
    <w:p w14:paraId="7F3843A3" w14:textId="55783B22" w:rsidR="00D7686B" w:rsidRDefault="00D7686B" w:rsidP="00D7686B">
      <w:pPr>
        <w:pStyle w:val="Heading1"/>
      </w:pPr>
      <w:r w:rsidRPr="00821E32">
        <w:lastRenderedPageBreak/>
        <w:t>Supplementa</w:t>
      </w:r>
      <w:r>
        <w:t>ry Results</w:t>
      </w:r>
    </w:p>
    <w:p w14:paraId="2C87C82A" w14:textId="77777777" w:rsidR="00D7686B" w:rsidRDefault="00D7686B" w:rsidP="00D7686B">
      <w:r w:rsidRPr="00B9163F">
        <w:t xml:space="preserve">We prospectively screened 368 consecutive patients and </w:t>
      </w:r>
      <w:r>
        <w:t xml:space="preserve">included 276 patients. During screening, we </w:t>
      </w:r>
      <w:r w:rsidRPr="00B9163F">
        <w:t xml:space="preserve">excluded 92 patients for the following reasons: eligibility criteria not met (n = 36), </w:t>
      </w:r>
      <w:r>
        <w:t>refused consent</w:t>
      </w:r>
      <w:r w:rsidRPr="00B9163F">
        <w:t xml:space="preserve"> (n</w:t>
      </w:r>
      <w:r>
        <w:t> </w:t>
      </w:r>
      <w:r w:rsidRPr="00B9163F">
        <w:t>=</w:t>
      </w:r>
      <w:r>
        <w:t> </w:t>
      </w:r>
      <w:r w:rsidRPr="00B9163F">
        <w:t xml:space="preserve">32), </w:t>
      </w:r>
      <w:r>
        <w:t>bubble test</w:t>
      </w:r>
      <w:r w:rsidRPr="00B9163F">
        <w:t xml:space="preserve"> not </w:t>
      </w:r>
      <w:r>
        <w:t>feasible</w:t>
      </w:r>
      <w:r w:rsidRPr="00B9163F">
        <w:t xml:space="preserve"> (n = 11), missed by the study team (n = 11), blinding of the </w:t>
      </w:r>
      <w:r>
        <w:t xml:space="preserve">non-invasive ultrasound </w:t>
      </w:r>
      <w:r w:rsidRPr="00B9163F">
        <w:t>examiner not possible (n = 2).</w:t>
      </w:r>
      <w:r w:rsidRPr="00D07394">
        <w:t xml:space="preserve"> </w:t>
      </w:r>
    </w:p>
    <w:p w14:paraId="5EEF0701" w14:textId="0BB925AB" w:rsidR="00EF4633" w:rsidRDefault="00D7686B" w:rsidP="00D7686B">
      <w:r w:rsidRPr="00B9163F">
        <w:t xml:space="preserve">Upon completion of the study, 27 patients </w:t>
      </w:r>
      <w:r>
        <w:t xml:space="preserve">were excluded </w:t>
      </w:r>
      <w:r w:rsidRPr="00B9163F">
        <w:t xml:space="preserve">because of incomplete </w:t>
      </w:r>
      <w:r>
        <w:t xml:space="preserve">non-invasive ultrasound or TEE </w:t>
      </w:r>
      <w:r w:rsidRPr="00B9163F">
        <w:t>data</w:t>
      </w:r>
      <w:r>
        <w:t>. TCD</w:t>
      </w:r>
      <w:r w:rsidRPr="00B9163F">
        <w:t xml:space="preserve"> bubble test was incomplete in eight patients</w:t>
      </w:r>
      <w:r>
        <w:t xml:space="preserve">: </w:t>
      </w:r>
      <w:r w:rsidRPr="00B9163F">
        <w:t xml:space="preserve">Valsalva maneuver </w:t>
      </w:r>
      <w:r>
        <w:t xml:space="preserve">was </w:t>
      </w:r>
      <w:r w:rsidRPr="00B9163F">
        <w:t>insufficient because of aphasia or language barrier (n = 6), abortion of the test by the patient (n = 2).</w:t>
      </w:r>
      <w:r>
        <w:t xml:space="preserve"> </w:t>
      </w:r>
      <w:r w:rsidRPr="00B9163F">
        <w:t>TEE data was missing in 19 patients: procedure unsuccessful (n = 7) or prematurely aborted (n</w:t>
      </w:r>
      <w:r>
        <w:t xml:space="preserve"> </w:t>
      </w:r>
      <w:r w:rsidRPr="00B9163F">
        <w:t>=</w:t>
      </w:r>
      <w:r>
        <w:t xml:space="preserve"> </w:t>
      </w:r>
      <w:r w:rsidRPr="00B9163F">
        <w:t>6) because of physical barrier, excessive choking, agitation, or hypoxemia due to sedation; or not performed because of withdrawal of consent (n</w:t>
      </w:r>
      <w:r>
        <w:t xml:space="preserve"> </w:t>
      </w:r>
      <w:r w:rsidRPr="00B9163F">
        <w:t>=</w:t>
      </w:r>
      <w:r>
        <w:t xml:space="preserve"> </w:t>
      </w:r>
      <w:r w:rsidRPr="00B9163F">
        <w:t>2), thrombocytopenia (n</w:t>
      </w:r>
      <w:r>
        <w:t xml:space="preserve"> </w:t>
      </w:r>
      <w:r w:rsidRPr="00B9163F">
        <w:t>=</w:t>
      </w:r>
      <w:r>
        <w:t xml:space="preserve"> </w:t>
      </w:r>
      <w:r w:rsidRPr="00B9163F">
        <w:t xml:space="preserve">2), or </w:t>
      </w:r>
      <w:r>
        <w:t>novel</w:t>
      </w:r>
      <w:r w:rsidRPr="00B9163F">
        <w:t xml:space="preserve"> medical findings in the meantime (n = 2).</w:t>
      </w:r>
      <w:r>
        <w:t xml:space="preserve"> W</w:t>
      </w:r>
      <w:r w:rsidRPr="00B9163F">
        <w:t xml:space="preserve">e excluded 9 further patients who underwent stroke diagnostics </w:t>
      </w:r>
      <w:r>
        <w:t>but had</w:t>
      </w:r>
      <w:r w:rsidRPr="00B9163F">
        <w:t xml:space="preserve"> </w:t>
      </w:r>
      <w:r>
        <w:t xml:space="preserve">a non-ischemic diagnosis </w:t>
      </w:r>
      <w:r w:rsidRPr="00B9163F">
        <w:t>at discharge</w:t>
      </w:r>
      <w:r>
        <w:t xml:space="preserve"> (</w:t>
      </w:r>
      <w:r w:rsidRPr="00B9163F">
        <w:t xml:space="preserve">migraine </w:t>
      </w:r>
      <w:r>
        <w:t>[</w:t>
      </w:r>
      <w:r w:rsidRPr="00B9163F">
        <w:t>n = 4</w:t>
      </w:r>
      <w:r>
        <w:t>]</w:t>
      </w:r>
      <w:r w:rsidRPr="00B9163F">
        <w:t xml:space="preserve">, psychogenic symptoms </w:t>
      </w:r>
      <w:r>
        <w:t>[</w:t>
      </w:r>
      <w:r w:rsidRPr="00B9163F">
        <w:t>n = 2</w:t>
      </w:r>
      <w:r>
        <w:t>]</w:t>
      </w:r>
      <w:r w:rsidRPr="00B9163F">
        <w:t xml:space="preserve">, brain tumor </w:t>
      </w:r>
      <w:r>
        <w:t>[</w:t>
      </w:r>
      <w:r w:rsidRPr="00B9163F">
        <w:t>n = 1</w:t>
      </w:r>
      <w:r>
        <w:t>]</w:t>
      </w:r>
      <w:r w:rsidRPr="00B9163F">
        <w:t xml:space="preserve">, multiple sclerosis </w:t>
      </w:r>
      <w:r>
        <w:t>[</w:t>
      </w:r>
      <w:r w:rsidRPr="00B9163F">
        <w:t>n = 1</w:t>
      </w:r>
      <w:r>
        <w:t>]</w:t>
      </w:r>
      <w:r w:rsidRPr="00B9163F">
        <w:t xml:space="preserve">, headache during sexual activity with focal neurological deficit </w:t>
      </w:r>
      <w:r>
        <w:t>[</w:t>
      </w:r>
      <w:r w:rsidRPr="00B9163F">
        <w:t>n = 1</w:t>
      </w:r>
      <w:r>
        <w:t>])</w:t>
      </w:r>
      <w:r w:rsidRPr="00B9163F">
        <w:t>.</w:t>
      </w:r>
      <w:r w:rsidR="00D05FC6">
        <w:t xml:space="preserve"> </w:t>
      </w:r>
      <w:r w:rsidR="00EF4633">
        <w:t xml:space="preserve">None of the patients had </w:t>
      </w:r>
      <w:r w:rsidR="00A82D21">
        <w:t xml:space="preserve">a </w:t>
      </w:r>
      <w:r w:rsidR="00EF4633">
        <w:t xml:space="preserve">diagnosis of carotid web. </w:t>
      </w:r>
    </w:p>
    <w:p w14:paraId="3509524A" w14:textId="77777777" w:rsidR="00D7686B" w:rsidRPr="002530E0" w:rsidRDefault="00D7686B" w:rsidP="00D7686B">
      <w:r>
        <w:t>We performed sensitivity analyses in the subset of patients with cryptogenic stroke only (n=163, 67.9%), of which 41 (25.1%) had negative non-invasive ultrasound. In those patients, combined non-invasive ultrasound</w:t>
      </w:r>
      <w:r w:rsidRPr="00DE4EA4">
        <w:t xml:space="preserve"> reached a sensitivity </w:t>
      </w:r>
      <w:r w:rsidRPr="00CB4236">
        <w:t>of 9</w:t>
      </w:r>
      <w:r w:rsidRPr="0013715F">
        <w:t>8.6</w:t>
      </w:r>
      <w:r w:rsidRPr="00CB4236">
        <w:t>% (95% CI [9</w:t>
      </w:r>
      <w:r w:rsidRPr="009F49BD">
        <w:t>2.3</w:t>
      </w:r>
      <w:r w:rsidRPr="00CB4236">
        <w:t xml:space="preserve"> </w:t>
      </w:r>
      <w:r w:rsidRPr="009F49BD">
        <w:t>100.0</w:t>
      </w:r>
      <w:r w:rsidRPr="00CB4236">
        <w:t>]) and an NPV of 97.</w:t>
      </w:r>
      <w:r w:rsidRPr="009F49BD">
        <w:t>6</w:t>
      </w:r>
      <w:r w:rsidRPr="00CB4236">
        <w:t>% (95% CI [8</w:t>
      </w:r>
      <w:r w:rsidRPr="009F49BD">
        <w:t>7.1</w:t>
      </w:r>
      <w:r w:rsidRPr="00CB4236">
        <w:t>, 99.</w:t>
      </w:r>
      <w:r w:rsidRPr="009F49BD">
        <w:t>9</w:t>
      </w:r>
      <w:r w:rsidRPr="00CB4236">
        <w:t xml:space="preserve">]) for therapy-relevant findings in TEE. </w:t>
      </w:r>
      <w:r>
        <w:t>S</w:t>
      </w:r>
      <w:r w:rsidRPr="00CB4236">
        <w:t>pecificity was 4</w:t>
      </w:r>
      <w:r w:rsidRPr="009F49BD">
        <w:t>3</w:t>
      </w:r>
      <w:r w:rsidRPr="00CB4236">
        <w:t>.</w:t>
      </w:r>
      <w:r w:rsidRPr="009F49BD">
        <w:t>0</w:t>
      </w:r>
      <w:r w:rsidRPr="00CB4236">
        <w:t>% (95% CI [3</w:t>
      </w:r>
      <w:r w:rsidRPr="009F49BD">
        <w:t>2.8</w:t>
      </w:r>
      <w:r w:rsidRPr="00CB4236">
        <w:t>, 5</w:t>
      </w:r>
      <w:r w:rsidRPr="009F49BD">
        <w:t>3</w:t>
      </w:r>
      <w:r w:rsidRPr="00CB4236">
        <w:t>.</w:t>
      </w:r>
      <w:r w:rsidRPr="009F49BD">
        <w:t>7</w:t>
      </w:r>
      <w:r w:rsidRPr="00CB4236">
        <w:t>]) and PPV was 5</w:t>
      </w:r>
      <w:r w:rsidRPr="009F49BD">
        <w:t>6</w:t>
      </w:r>
      <w:r w:rsidRPr="00CB4236">
        <w:t>.</w:t>
      </w:r>
      <w:r w:rsidRPr="009F49BD">
        <w:t>6</w:t>
      </w:r>
      <w:r w:rsidRPr="00CB4236">
        <w:t>% (95% CI [</w:t>
      </w:r>
      <w:r w:rsidRPr="009F49BD">
        <w:t>47.3</w:t>
      </w:r>
      <w:r w:rsidRPr="00CB4236">
        <w:t xml:space="preserve">, </w:t>
      </w:r>
      <w:r w:rsidRPr="009F49BD">
        <w:t>65.5</w:t>
      </w:r>
      <w:r w:rsidRPr="00CB4236">
        <w:t>]). The positive likelihood ratio was 1.</w:t>
      </w:r>
      <w:r w:rsidRPr="009F49BD">
        <w:t>73</w:t>
      </w:r>
      <w:r w:rsidRPr="00CB4236">
        <w:t xml:space="preserve"> (95% CI [1.</w:t>
      </w:r>
      <w:r w:rsidRPr="009F49BD">
        <w:t>5</w:t>
      </w:r>
      <w:r w:rsidRPr="00CB4236">
        <w:t xml:space="preserve">, </w:t>
      </w:r>
      <w:r w:rsidRPr="009F49BD">
        <w:t>2.1</w:t>
      </w:r>
      <w:r w:rsidRPr="00CB4236">
        <w:t>]) and the negative likelihood ratio was 0.0</w:t>
      </w:r>
      <w:r w:rsidRPr="009F49BD">
        <w:t>3</w:t>
      </w:r>
      <w:r w:rsidRPr="00CB4236">
        <w:t xml:space="preserve"> (95% CI [0.0</w:t>
      </w:r>
      <w:r w:rsidRPr="009F49BD">
        <w:t>0</w:t>
      </w:r>
      <w:r w:rsidRPr="00CB4236">
        <w:t>, 0.</w:t>
      </w:r>
      <w:r w:rsidRPr="009F49BD">
        <w:t>24</w:t>
      </w:r>
      <w:r w:rsidRPr="00CB4236">
        <w:t>]).</w:t>
      </w:r>
      <w:r>
        <w:t xml:space="preserve"> </w:t>
      </w:r>
      <w:r w:rsidRPr="002530E0">
        <w:t>TCD bubble test alone had a sensitivity of 9</w:t>
      </w:r>
      <w:r w:rsidRPr="009F49BD">
        <w:t>1.0</w:t>
      </w:r>
      <w:r w:rsidRPr="002530E0">
        <w:t>% (95% CI [8</w:t>
      </w:r>
      <w:r w:rsidRPr="009F49BD">
        <w:t>1.5</w:t>
      </w:r>
      <w:r w:rsidRPr="002530E0">
        <w:t>, 9</w:t>
      </w:r>
      <w:r w:rsidRPr="009F49BD">
        <w:t>6</w:t>
      </w:r>
      <w:r w:rsidRPr="002530E0">
        <w:t>.</w:t>
      </w:r>
      <w:r w:rsidRPr="009F49BD">
        <w:t>6</w:t>
      </w:r>
      <w:r w:rsidRPr="002530E0">
        <w:t>]) and an NPV of 9</w:t>
      </w:r>
      <w:r w:rsidRPr="009F49BD">
        <w:t>2</w:t>
      </w:r>
      <w:r w:rsidRPr="002530E0">
        <w:t>.</w:t>
      </w:r>
      <w:r w:rsidRPr="009F49BD">
        <w:t>9</w:t>
      </w:r>
      <w:r w:rsidRPr="002530E0">
        <w:t>% (95% CI [8</w:t>
      </w:r>
      <w:r w:rsidRPr="009F49BD">
        <w:t>5.3</w:t>
      </w:r>
      <w:r w:rsidRPr="002530E0">
        <w:t xml:space="preserve">, </w:t>
      </w:r>
      <w:r w:rsidRPr="009F49BD">
        <w:t>97.4</w:t>
      </w:r>
      <w:r w:rsidRPr="002530E0">
        <w:t xml:space="preserve">]) for detecting and excluding PFO in TEE. Specificity was </w:t>
      </w:r>
      <w:r w:rsidRPr="009F49BD">
        <w:t>82.3</w:t>
      </w:r>
      <w:r w:rsidRPr="002530E0">
        <w:t>% (95% CI [7</w:t>
      </w:r>
      <w:r w:rsidRPr="009F49BD">
        <w:t>3.2, 89.3</w:t>
      </w:r>
      <w:r w:rsidRPr="002530E0">
        <w:t xml:space="preserve">]) and PPV was </w:t>
      </w:r>
      <w:r w:rsidRPr="009F49BD">
        <w:t>78.2</w:t>
      </w:r>
      <w:r w:rsidRPr="002530E0">
        <w:t>% (95% CI [6</w:t>
      </w:r>
      <w:r w:rsidRPr="009F49BD">
        <w:t>7.4</w:t>
      </w:r>
      <w:r w:rsidRPr="002530E0">
        <w:t>, 8</w:t>
      </w:r>
      <w:r w:rsidRPr="009F49BD">
        <w:t>6</w:t>
      </w:r>
      <w:r w:rsidRPr="002530E0">
        <w:t>.</w:t>
      </w:r>
      <w:r w:rsidRPr="009F49BD">
        <w:t>8</w:t>
      </w:r>
      <w:r w:rsidRPr="002530E0">
        <w:t xml:space="preserve">]). Carotid atherosclerosis alone showed a sensitivity of </w:t>
      </w:r>
      <w:r w:rsidRPr="009F49BD">
        <w:t>100</w:t>
      </w:r>
      <w:r w:rsidRPr="002530E0">
        <w:t>.0% (95% CI [</w:t>
      </w:r>
      <w:r w:rsidRPr="009F49BD">
        <w:t>54.1</w:t>
      </w:r>
      <w:r w:rsidRPr="002530E0">
        <w:t xml:space="preserve">, </w:t>
      </w:r>
      <w:r w:rsidRPr="009F49BD">
        <w:t>100.0</w:t>
      </w:r>
      <w:r w:rsidRPr="002530E0">
        <w:t xml:space="preserve">]) and an NPV of </w:t>
      </w:r>
      <w:r w:rsidRPr="009F49BD">
        <w:t>100.0</w:t>
      </w:r>
      <w:r w:rsidRPr="002530E0">
        <w:t>% (95% CI [9</w:t>
      </w:r>
      <w:r w:rsidRPr="009F49BD">
        <w:t>5</w:t>
      </w:r>
      <w:r w:rsidRPr="002530E0">
        <w:t>.</w:t>
      </w:r>
      <w:r w:rsidRPr="009F49BD">
        <w:t>9</w:t>
      </w:r>
      <w:r w:rsidRPr="002530E0">
        <w:t>, 100.0]) for the detection and exclusion of complex aortic plaques. Due to the overall low prevalence of complex aortic plaques (n = 10, 4.2%), specificity was 5</w:t>
      </w:r>
      <w:r w:rsidRPr="009F49BD">
        <w:t>6</w:t>
      </w:r>
      <w:r w:rsidRPr="002530E0">
        <w:t>.</w:t>
      </w:r>
      <w:r w:rsidRPr="009F49BD">
        <w:t>7</w:t>
      </w:r>
      <w:r w:rsidRPr="002530E0">
        <w:t>% (95% CI [</w:t>
      </w:r>
      <w:r w:rsidRPr="009F49BD">
        <w:t>48.6</w:t>
      </w:r>
      <w:r w:rsidRPr="002530E0">
        <w:t xml:space="preserve">, </w:t>
      </w:r>
      <w:r w:rsidRPr="009F49BD">
        <w:t>64.6</w:t>
      </w:r>
      <w:r w:rsidRPr="002530E0">
        <w:t>]) and PPV was only 8.</w:t>
      </w:r>
      <w:r w:rsidRPr="009F49BD">
        <w:t>1</w:t>
      </w:r>
      <w:r w:rsidRPr="002530E0">
        <w:t>% (95% CI [</w:t>
      </w:r>
      <w:r w:rsidRPr="009F49BD">
        <w:t>3.0</w:t>
      </w:r>
      <w:r w:rsidRPr="002530E0">
        <w:t>, 16.</w:t>
      </w:r>
      <w:r w:rsidRPr="009F49BD">
        <w:t>8</w:t>
      </w:r>
      <w:r w:rsidRPr="002530E0">
        <w:t>]).</w:t>
      </w:r>
    </w:p>
    <w:p w14:paraId="41A6BDB8" w14:textId="77777777" w:rsidR="00D7686B" w:rsidRDefault="00D7686B" w:rsidP="00D7686B">
      <w:pPr>
        <w:spacing w:after="0"/>
        <w:rPr>
          <w:rFonts w:eastAsiaTheme="majorEastAsia" w:cstheme="majorBidi"/>
          <w:b/>
          <w:color w:val="000000" w:themeColor="text1"/>
          <w:sz w:val="32"/>
          <w:szCs w:val="32"/>
        </w:rPr>
      </w:pPr>
      <w:r>
        <w:br w:type="page"/>
      </w:r>
    </w:p>
    <w:p w14:paraId="34C917B5" w14:textId="6FB4BA68" w:rsidR="00D7686B" w:rsidRDefault="00D7686B" w:rsidP="00D7686B">
      <w:pPr>
        <w:pStyle w:val="Heading1"/>
      </w:pPr>
      <w:r>
        <w:lastRenderedPageBreak/>
        <w:t>Supplementary Table</w:t>
      </w:r>
      <w:bookmarkEnd w:id="0"/>
      <w:r>
        <w:t>s</w:t>
      </w:r>
    </w:p>
    <w:tbl>
      <w:tblPr>
        <w:tblStyle w:val="TableGrid"/>
        <w:tblW w:w="9000"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6" w:space="0" w:color="BFBFBF" w:themeColor="background1" w:themeShade="BF"/>
          <w:insideV w:val="none" w:sz="0" w:space="0" w:color="auto"/>
        </w:tblBorders>
        <w:tblLook w:val="04A0" w:firstRow="1" w:lastRow="0" w:firstColumn="1" w:lastColumn="0" w:noHBand="0" w:noVBand="1"/>
      </w:tblPr>
      <w:tblGrid>
        <w:gridCol w:w="6300"/>
        <w:gridCol w:w="2700"/>
      </w:tblGrid>
      <w:tr w:rsidR="00D7686B" w:rsidRPr="009F49BD" w14:paraId="6354D57E" w14:textId="77777777" w:rsidTr="00FB791D">
        <w:tc>
          <w:tcPr>
            <w:tcW w:w="6300" w:type="dxa"/>
          </w:tcPr>
          <w:p w14:paraId="219F48C2" w14:textId="77777777" w:rsidR="00D7686B" w:rsidRPr="009F49BD" w:rsidRDefault="00D7686B" w:rsidP="00FB791D">
            <w:pPr>
              <w:spacing w:before="100" w:after="100"/>
              <w:rPr>
                <w:b/>
                <w:bCs/>
              </w:rPr>
            </w:pPr>
            <w:r w:rsidRPr="009F49BD">
              <w:rPr>
                <w:b/>
                <w:bCs/>
              </w:rPr>
              <w:t>Characteristic</w:t>
            </w:r>
          </w:p>
        </w:tc>
        <w:tc>
          <w:tcPr>
            <w:tcW w:w="2700" w:type="dxa"/>
          </w:tcPr>
          <w:p w14:paraId="76B6F152" w14:textId="77777777" w:rsidR="00D7686B" w:rsidRPr="009F49BD" w:rsidRDefault="00D7686B" w:rsidP="00FB791D">
            <w:pPr>
              <w:spacing w:before="100" w:after="100"/>
              <w:rPr>
                <w:b/>
                <w:bCs/>
              </w:rPr>
            </w:pPr>
            <w:r w:rsidRPr="009F49BD">
              <w:rPr>
                <w:b/>
                <w:bCs/>
              </w:rPr>
              <w:t>Value</w:t>
            </w:r>
          </w:p>
        </w:tc>
      </w:tr>
      <w:tr w:rsidR="00D7686B" w:rsidRPr="00836EBD" w14:paraId="362F7A5D" w14:textId="77777777" w:rsidTr="00FB791D">
        <w:tc>
          <w:tcPr>
            <w:tcW w:w="9000" w:type="dxa"/>
            <w:gridSpan w:val="2"/>
          </w:tcPr>
          <w:p w14:paraId="488F229B" w14:textId="77777777" w:rsidR="00D7686B" w:rsidRPr="00836EBD" w:rsidRDefault="00D7686B" w:rsidP="00FB791D">
            <w:pPr>
              <w:spacing w:before="100" w:after="100"/>
              <w:jc w:val="center"/>
              <w:rPr>
                <w:b/>
                <w:bCs/>
              </w:rPr>
            </w:pPr>
            <w:r w:rsidRPr="00836EBD">
              <w:rPr>
                <w:b/>
                <w:bCs/>
              </w:rPr>
              <w:t xml:space="preserve">Screening for </w:t>
            </w:r>
            <w:r>
              <w:rPr>
                <w:b/>
                <w:bCs/>
              </w:rPr>
              <w:t>C</w:t>
            </w:r>
            <w:r w:rsidRPr="00836EBD">
              <w:rPr>
                <w:b/>
                <w:bCs/>
              </w:rPr>
              <w:t xml:space="preserve">arotid </w:t>
            </w:r>
            <w:r>
              <w:rPr>
                <w:b/>
                <w:bCs/>
              </w:rPr>
              <w:t>A</w:t>
            </w:r>
            <w:r w:rsidRPr="00836EBD">
              <w:rPr>
                <w:b/>
                <w:bCs/>
              </w:rPr>
              <w:t>therosclerosis</w:t>
            </w:r>
          </w:p>
        </w:tc>
      </w:tr>
      <w:tr w:rsidR="00D7686B" w:rsidRPr="00B9163F" w14:paraId="1E112365" w14:textId="77777777" w:rsidTr="00FB791D">
        <w:tc>
          <w:tcPr>
            <w:tcW w:w="6300" w:type="dxa"/>
          </w:tcPr>
          <w:p w14:paraId="56760465" w14:textId="77777777" w:rsidR="00D7686B" w:rsidRPr="00B9163F" w:rsidRDefault="00D7686B" w:rsidP="00FB791D">
            <w:pPr>
              <w:spacing w:after="0" w:line="276" w:lineRule="auto"/>
            </w:pPr>
            <w:r>
              <w:t>Carotid plaques overall – n (%)</w:t>
            </w:r>
          </w:p>
        </w:tc>
        <w:tc>
          <w:tcPr>
            <w:tcW w:w="2700" w:type="dxa"/>
          </w:tcPr>
          <w:p w14:paraId="089382E4" w14:textId="77777777" w:rsidR="00D7686B" w:rsidRPr="00B9163F" w:rsidRDefault="00D7686B" w:rsidP="00FB791D">
            <w:pPr>
              <w:spacing w:after="0" w:line="276" w:lineRule="auto"/>
            </w:pPr>
            <w:r>
              <w:t>92 (38.3%)</w:t>
            </w:r>
          </w:p>
        </w:tc>
      </w:tr>
      <w:tr w:rsidR="00D7686B" w:rsidRPr="00B9163F" w14:paraId="5FE80322" w14:textId="77777777" w:rsidTr="00FB791D">
        <w:tc>
          <w:tcPr>
            <w:tcW w:w="6300" w:type="dxa"/>
          </w:tcPr>
          <w:p w14:paraId="1287A6DF" w14:textId="77777777" w:rsidR="00D7686B" w:rsidRDefault="00D7686B" w:rsidP="00FB791D">
            <w:pPr>
              <w:spacing w:after="0" w:line="276" w:lineRule="auto"/>
            </w:pPr>
            <w:r>
              <w:t>Plaques left ICA – n (%)</w:t>
            </w:r>
          </w:p>
        </w:tc>
        <w:tc>
          <w:tcPr>
            <w:tcW w:w="2700" w:type="dxa"/>
          </w:tcPr>
          <w:p w14:paraId="79196FEE" w14:textId="77777777" w:rsidR="00D7686B" w:rsidRPr="00B9163F" w:rsidRDefault="00D7686B" w:rsidP="00FB791D">
            <w:pPr>
              <w:spacing w:after="0" w:line="276" w:lineRule="auto"/>
            </w:pPr>
            <w:r>
              <w:t>64 (26.7%)</w:t>
            </w:r>
          </w:p>
        </w:tc>
      </w:tr>
      <w:tr w:rsidR="00D7686B" w:rsidRPr="00B9163F" w14:paraId="6FC2DEB8" w14:textId="77777777" w:rsidTr="00FB791D">
        <w:tc>
          <w:tcPr>
            <w:tcW w:w="6300" w:type="dxa"/>
          </w:tcPr>
          <w:p w14:paraId="62CD0AFD" w14:textId="77777777" w:rsidR="00D7686B" w:rsidRDefault="00D7686B" w:rsidP="00FB791D">
            <w:pPr>
              <w:spacing w:after="0" w:line="276" w:lineRule="auto"/>
            </w:pPr>
            <w:r>
              <w:t>Plaques right ICA – n (%)</w:t>
            </w:r>
          </w:p>
        </w:tc>
        <w:tc>
          <w:tcPr>
            <w:tcW w:w="2700" w:type="dxa"/>
          </w:tcPr>
          <w:p w14:paraId="6F2B6B5E" w14:textId="77777777" w:rsidR="00D7686B" w:rsidRPr="00B9163F" w:rsidRDefault="00D7686B" w:rsidP="00FB791D">
            <w:pPr>
              <w:spacing w:after="0" w:line="276" w:lineRule="auto"/>
            </w:pPr>
            <w:r>
              <w:t>59 (24.6%)</w:t>
            </w:r>
          </w:p>
        </w:tc>
      </w:tr>
      <w:tr w:rsidR="00D7686B" w:rsidRPr="00B9163F" w14:paraId="501B02E2" w14:textId="77777777" w:rsidTr="00FB791D">
        <w:tc>
          <w:tcPr>
            <w:tcW w:w="6300" w:type="dxa"/>
          </w:tcPr>
          <w:p w14:paraId="21E73680" w14:textId="77777777" w:rsidR="00D7686B" w:rsidRDefault="00D7686B" w:rsidP="00FB791D">
            <w:pPr>
              <w:spacing w:after="0" w:line="276" w:lineRule="auto"/>
            </w:pPr>
            <w:r>
              <w:t>Plaques left ECA – n (%)</w:t>
            </w:r>
          </w:p>
        </w:tc>
        <w:tc>
          <w:tcPr>
            <w:tcW w:w="2700" w:type="dxa"/>
          </w:tcPr>
          <w:p w14:paraId="3E229781" w14:textId="77777777" w:rsidR="00D7686B" w:rsidRPr="00B9163F" w:rsidRDefault="00D7686B" w:rsidP="00FB791D">
            <w:pPr>
              <w:spacing w:after="0" w:line="276" w:lineRule="auto"/>
            </w:pPr>
            <w:r>
              <w:t>31 (12.9%)</w:t>
            </w:r>
          </w:p>
        </w:tc>
      </w:tr>
      <w:tr w:rsidR="00D7686B" w:rsidRPr="00B9163F" w14:paraId="498489AA" w14:textId="77777777" w:rsidTr="00FB791D">
        <w:tc>
          <w:tcPr>
            <w:tcW w:w="6300" w:type="dxa"/>
          </w:tcPr>
          <w:p w14:paraId="374A7BD5" w14:textId="77777777" w:rsidR="00D7686B" w:rsidRDefault="00D7686B" w:rsidP="00FB791D">
            <w:pPr>
              <w:spacing w:after="0" w:line="276" w:lineRule="auto"/>
            </w:pPr>
            <w:r>
              <w:t>Plaques right ECA – n (%)</w:t>
            </w:r>
          </w:p>
        </w:tc>
        <w:tc>
          <w:tcPr>
            <w:tcW w:w="2700" w:type="dxa"/>
          </w:tcPr>
          <w:p w14:paraId="3F7D6B27" w14:textId="77777777" w:rsidR="00D7686B" w:rsidRPr="00B9163F" w:rsidRDefault="00D7686B" w:rsidP="00FB791D">
            <w:pPr>
              <w:spacing w:after="0" w:line="276" w:lineRule="auto"/>
            </w:pPr>
            <w:r>
              <w:t>31 (12.9%)</w:t>
            </w:r>
          </w:p>
        </w:tc>
      </w:tr>
      <w:tr w:rsidR="00D7686B" w:rsidRPr="00B9163F" w14:paraId="307CECD8" w14:textId="77777777" w:rsidTr="00FB791D">
        <w:tc>
          <w:tcPr>
            <w:tcW w:w="6300" w:type="dxa"/>
          </w:tcPr>
          <w:p w14:paraId="7CA21812" w14:textId="77777777" w:rsidR="00D7686B" w:rsidRPr="00086D59" w:rsidRDefault="00D7686B" w:rsidP="00FB791D">
            <w:pPr>
              <w:spacing w:after="0" w:line="276" w:lineRule="auto"/>
            </w:pPr>
            <w:r w:rsidRPr="00086D59">
              <w:t>Intima-</w:t>
            </w:r>
            <w:r w:rsidRPr="009F49BD">
              <w:t>Media</w:t>
            </w:r>
            <w:r w:rsidRPr="00086D59">
              <w:t xml:space="preserve">-Thickness </w:t>
            </w:r>
            <w:r>
              <w:t xml:space="preserve">left CCA </w:t>
            </w:r>
            <w:r w:rsidRPr="00086D59">
              <w:t xml:space="preserve">– </w:t>
            </w:r>
            <w:r>
              <w:t>median (IQR) mm</w:t>
            </w:r>
          </w:p>
        </w:tc>
        <w:tc>
          <w:tcPr>
            <w:tcW w:w="2700" w:type="dxa"/>
          </w:tcPr>
          <w:p w14:paraId="71825828" w14:textId="77777777" w:rsidR="00D7686B" w:rsidRPr="00086D59" w:rsidRDefault="00D7686B" w:rsidP="00FB791D">
            <w:pPr>
              <w:spacing w:after="0" w:line="276" w:lineRule="auto"/>
            </w:pPr>
            <w:r>
              <w:t>0.60 (0.51-0.77)</w:t>
            </w:r>
          </w:p>
        </w:tc>
      </w:tr>
      <w:tr w:rsidR="00D7686B" w:rsidRPr="00B9163F" w14:paraId="5141FC66" w14:textId="77777777" w:rsidTr="00FB791D">
        <w:tc>
          <w:tcPr>
            <w:tcW w:w="6300" w:type="dxa"/>
          </w:tcPr>
          <w:p w14:paraId="4396ED1D" w14:textId="77777777" w:rsidR="00D7686B" w:rsidRPr="00086D59" w:rsidRDefault="00D7686B" w:rsidP="00FB791D">
            <w:pPr>
              <w:spacing w:after="0" w:line="276" w:lineRule="auto"/>
            </w:pPr>
            <w:r w:rsidRPr="00086D59">
              <w:t>Intima-</w:t>
            </w:r>
            <w:r w:rsidRPr="00F17FFC">
              <w:t>Media</w:t>
            </w:r>
            <w:r w:rsidRPr="00086D59">
              <w:t xml:space="preserve">-Thickness </w:t>
            </w:r>
            <w:r>
              <w:t xml:space="preserve">right CCA </w:t>
            </w:r>
            <w:r w:rsidRPr="00086D59">
              <w:t xml:space="preserve">– </w:t>
            </w:r>
            <w:r>
              <w:t>median (IQR) mm</w:t>
            </w:r>
          </w:p>
        </w:tc>
        <w:tc>
          <w:tcPr>
            <w:tcW w:w="2700" w:type="dxa"/>
          </w:tcPr>
          <w:p w14:paraId="101358CA" w14:textId="77777777" w:rsidR="00D7686B" w:rsidRPr="00086D59" w:rsidRDefault="00D7686B" w:rsidP="00FB791D">
            <w:pPr>
              <w:spacing w:after="0" w:line="276" w:lineRule="auto"/>
            </w:pPr>
            <w:r>
              <w:t>0.59 (0.50-0.70)</w:t>
            </w:r>
          </w:p>
        </w:tc>
      </w:tr>
      <w:tr w:rsidR="00D7686B" w:rsidRPr="00B9163F" w14:paraId="41DF0F33" w14:textId="77777777" w:rsidTr="00FB791D">
        <w:tc>
          <w:tcPr>
            <w:tcW w:w="6300" w:type="dxa"/>
          </w:tcPr>
          <w:p w14:paraId="6B7CA5AD" w14:textId="77777777" w:rsidR="00D7686B" w:rsidRPr="00086D59" w:rsidRDefault="00D7686B" w:rsidP="00FB791D">
            <w:pPr>
              <w:spacing w:after="0" w:line="276" w:lineRule="auto"/>
            </w:pPr>
            <w:r w:rsidRPr="00086D59">
              <w:t>Intima-</w:t>
            </w:r>
            <w:r w:rsidRPr="00F17FFC">
              <w:t>Media</w:t>
            </w:r>
            <w:r w:rsidRPr="00086D59">
              <w:t xml:space="preserve">-Thickness </w:t>
            </w:r>
            <w:r>
              <w:t xml:space="preserve">mean l/r CCA </w:t>
            </w:r>
            <w:r w:rsidRPr="00086D59">
              <w:t xml:space="preserve">– </w:t>
            </w:r>
            <w:r>
              <w:t>median (IQR) mm</w:t>
            </w:r>
          </w:p>
        </w:tc>
        <w:tc>
          <w:tcPr>
            <w:tcW w:w="2700" w:type="dxa"/>
          </w:tcPr>
          <w:p w14:paraId="27ECC8C6" w14:textId="77777777" w:rsidR="00D7686B" w:rsidRPr="00086D59" w:rsidRDefault="00D7686B" w:rsidP="00FB791D">
            <w:pPr>
              <w:spacing w:after="0" w:line="276" w:lineRule="auto"/>
            </w:pPr>
            <w:r>
              <w:t>0.60 (0.51-0.73)</w:t>
            </w:r>
          </w:p>
        </w:tc>
      </w:tr>
      <w:tr w:rsidR="00D7686B" w:rsidRPr="009F49BD" w14:paraId="119C2A2A" w14:textId="77777777" w:rsidTr="00FB791D">
        <w:tc>
          <w:tcPr>
            <w:tcW w:w="9000" w:type="dxa"/>
            <w:gridSpan w:val="2"/>
          </w:tcPr>
          <w:p w14:paraId="2556E501" w14:textId="77777777" w:rsidR="00D7686B" w:rsidRPr="00585240" w:rsidRDefault="00D7686B" w:rsidP="00FB791D">
            <w:pPr>
              <w:spacing w:before="100" w:after="100"/>
              <w:jc w:val="center"/>
              <w:rPr>
                <w:b/>
                <w:bCs/>
              </w:rPr>
            </w:pPr>
            <w:r w:rsidRPr="00585240">
              <w:rPr>
                <w:b/>
                <w:bCs/>
              </w:rPr>
              <w:t xml:space="preserve">Screening for </w:t>
            </w:r>
            <w:r>
              <w:rPr>
                <w:b/>
                <w:bCs/>
              </w:rPr>
              <w:t>P</w:t>
            </w:r>
            <w:r w:rsidRPr="00585240">
              <w:rPr>
                <w:b/>
                <w:bCs/>
              </w:rPr>
              <w:t xml:space="preserve">atent </w:t>
            </w:r>
            <w:r>
              <w:rPr>
                <w:b/>
                <w:bCs/>
              </w:rPr>
              <w:t>F</w:t>
            </w:r>
            <w:r w:rsidRPr="00585240">
              <w:rPr>
                <w:b/>
                <w:bCs/>
              </w:rPr>
              <w:t xml:space="preserve">oramen </w:t>
            </w:r>
            <w:proofErr w:type="spellStart"/>
            <w:r>
              <w:rPr>
                <w:b/>
                <w:bCs/>
              </w:rPr>
              <w:t>O</w:t>
            </w:r>
            <w:r w:rsidRPr="00585240">
              <w:rPr>
                <w:b/>
                <w:bCs/>
              </w:rPr>
              <w:t>vale</w:t>
            </w:r>
            <w:proofErr w:type="spellEnd"/>
          </w:p>
        </w:tc>
      </w:tr>
      <w:tr w:rsidR="00D7686B" w:rsidRPr="009F49BD" w14:paraId="7C815E8D" w14:textId="77777777" w:rsidTr="00FB791D">
        <w:tc>
          <w:tcPr>
            <w:tcW w:w="6300" w:type="dxa"/>
          </w:tcPr>
          <w:p w14:paraId="2F0A35B8" w14:textId="77777777" w:rsidR="00D7686B" w:rsidRPr="003077EA" w:rsidRDefault="00D7686B" w:rsidP="00FB791D">
            <w:pPr>
              <w:spacing w:after="0" w:line="276" w:lineRule="auto"/>
            </w:pPr>
            <w:r w:rsidRPr="003077EA">
              <w:t>RLS at rest: None – n (%)</w:t>
            </w:r>
          </w:p>
        </w:tc>
        <w:tc>
          <w:tcPr>
            <w:tcW w:w="2700" w:type="dxa"/>
          </w:tcPr>
          <w:p w14:paraId="35BBB0FB" w14:textId="77777777" w:rsidR="00D7686B" w:rsidRPr="009F49BD" w:rsidRDefault="00D7686B" w:rsidP="00FB791D">
            <w:pPr>
              <w:spacing w:after="0" w:line="276" w:lineRule="auto"/>
            </w:pPr>
            <w:r w:rsidRPr="009F49BD">
              <w:t>160 (66.7%)</w:t>
            </w:r>
          </w:p>
        </w:tc>
      </w:tr>
      <w:tr w:rsidR="00D7686B" w:rsidRPr="009F49BD" w14:paraId="1A7667AE" w14:textId="77777777" w:rsidTr="00FB791D">
        <w:tc>
          <w:tcPr>
            <w:tcW w:w="6300" w:type="dxa"/>
          </w:tcPr>
          <w:p w14:paraId="0A155178" w14:textId="77777777" w:rsidR="00D7686B" w:rsidRPr="003077EA" w:rsidRDefault="00D7686B" w:rsidP="00FB791D">
            <w:pPr>
              <w:spacing w:after="0" w:line="276" w:lineRule="auto"/>
            </w:pPr>
            <w:r w:rsidRPr="003077EA">
              <w:t>RLS at rest: Small – n (%)</w:t>
            </w:r>
          </w:p>
        </w:tc>
        <w:tc>
          <w:tcPr>
            <w:tcW w:w="2700" w:type="dxa"/>
          </w:tcPr>
          <w:p w14:paraId="6EE32103" w14:textId="77777777" w:rsidR="00D7686B" w:rsidRPr="009F49BD" w:rsidRDefault="00D7686B" w:rsidP="00FB791D">
            <w:pPr>
              <w:spacing w:after="0" w:line="276" w:lineRule="auto"/>
            </w:pPr>
            <w:r w:rsidRPr="009F49BD">
              <w:t>37 (15.4%)</w:t>
            </w:r>
          </w:p>
        </w:tc>
      </w:tr>
      <w:tr w:rsidR="00D7686B" w:rsidRPr="009F49BD" w14:paraId="78C0FDBE" w14:textId="77777777" w:rsidTr="00FB791D">
        <w:tc>
          <w:tcPr>
            <w:tcW w:w="6300" w:type="dxa"/>
          </w:tcPr>
          <w:p w14:paraId="4B742DCA" w14:textId="77777777" w:rsidR="00D7686B" w:rsidRPr="003077EA" w:rsidRDefault="00D7686B" w:rsidP="00FB791D">
            <w:pPr>
              <w:spacing w:after="0" w:line="276" w:lineRule="auto"/>
            </w:pPr>
            <w:r w:rsidRPr="003077EA">
              <w:t>RLS at rest: Moderate – n (%)</w:t>
            </w:r>
          </w:p>
        </w:tc>
        <w:tc>
          <w:tcPr>
            <w:tcW w:w="2700" w:type="dxa"/>
          </w:tcPr>
          <w:p w14:paraId="430D8556" w14:textId="77777777" w:rsidR="00D7686B" w:rsidRPr="009F49BD" w:rsidRDefault="00D7686B" w:rsidP="00FB791D">
            <w:pPr>
              <w:spacing w:after="0" w:line="276" w:lineRule="auto"/>
            </w:pPr>
            <w:r w:rsidRPr="009F49BD">
              <w:t>37 (15.4%)</w:t>
            </w:r>
          </w:p>
        </w:tc>
      </w:tr>
      <w:tr w:rsidR="00D7686B" w:rsidRPr="009F49BD" w14:paraId="4D459DCF" w14:textId="77777777" w:rsidTr="00FB791D">
        <w:tc>
          <w:tcPr>
            <w:tcW w:w="6300" w:type="dxa"/>
          </w:tcPr>
          <w:p w14:paraId="1ED3697F" w14:textId="77777777" w:rsidR="00D7686B" w:rsidRPr="003077EA" w:rsidRDefault="00D7686B" w:rsidP="00FB791D">
            <w:pPr>
              <w:spacing w:after="0" w:line="276" w:lineRule="auto"/>
            </w:pPr>
            <w:r w:rsidRPr="003077EA">
              <w:t>RLS at rest: Large – n (%)</w:t>
            </w:r>
          </w:p>
        </w:tc>
        <w:tc>
          <w:tcPr>
            <w:tcW w:w="2700" w:type="dxa"/>
          </w:tcPr>
          <w:p w14:paraId="2F82F033" w14:textId="77777777" w:rsidR="00D7686B" w:rsidRPr="009F49BD" w:rsidRDefault="00D7686B" w:rsidP="00FB791D">
            <w:pPr>
              <w:spacing w:after="0" w:line="276" w:lineRule="auto"/>
            </w:pPr>
            <w:r w:rsidRPr="009F49BD">
              <w:t>6 (2.5%)</w:t>
            </w:r>
          </w:p>
        </w:tc>
      </w:tr>
      <w:tr w:rsidR="00D7686B" w:rsidRPr="009F49BD" w14:paraId="0F5BD6A1" w14:textId="77777777" w:rsidTr="00FB791D">
        <w:tc>
          <w:tcPr>
            <w:tcW w:w="6300" w:type="dxa"/>
          </w:tcPr>
          <w:p w14:paraId="02C3DA68" w14:textId="77777777" w:rsidR="00D7686B" w:rsidRPr="003077EA" w:rsidRDefault="00D7686B" w:rsidP="00FB791D">
            <w:pPr>
              <w:spacing w:after="0" w:line="276" w:lineRule="auto"/>
            </w:pPr>
            <w:r w:rsidRPr="003077EA">
              <w:t>RLS under Valsalva: None – n (%)</w:t>
            </w:r>
          </w:p>
        </w:tc>
        <w:tc>
          <w:tcPr>
            <w:tcW w:w="2700" w:type="dxa"/>
          </w:tcPr>
          <w:p w14:paraId="2E9E70D8" w14:textId="77777777" w:rsidR="00D7686B" w:rsidRPr="009F49BD" w:rsidRDefault="00D7686B" w:rsidP="00FB791D">
            <w:pPr>
              <w:spacing w:after="0" w:line="276" w:lineRule="auto"/>
            </w:pPr>
            <w:r w:rsidRPr="009F49BD">
              <w:t>123 (51.2%)</w:t>
            </w:r>
          </w:p>
        </w:tc>
      </w:tr>
      <w:tr w:rsidR="00D7686B" w:rsidRPr="009F49BD" w14:paraId="51AA89B9" w14:textId="77777777" w:rsidTr="00FB791D">
        <w:tc>
          <w:tcPr>
            <w:tcW w:w="6300" w:type="dxa"/>
          </w:tcPr>
          <w:p w14:paraId="5145A5E5" w14:textId="77777777" w:rsidR="00D7686B" w:rsidRPr="003077EA" w:rsidRDefault="00D7686B" w:rsidP="00FB791D">
            <w:pPr>
              <w:spacing w:after="0" w:line="276" w:lineRule="auto"/>
            </w:pPr>
            <w:r w:rsidRPr="003077EA">
              <w:t>RLS under Valsalva: Small – n (%)</w:t>
            </w:r>
          </w:p>
        </w:tc>
        <w:tc>
          <w:tcPr>
            <w:tcW w:w="2700" w:type="dxa"/>
          </w:tcPr>
          <w:p w14:paraId="77FA2000" w14:textId="77777777" w:rsidR="00D7686B" w:rsidRPr="009F49BD" w:rsidRDefault="00D7686B" w:rsidP="00FB791D">
            <w:pPr>
              <w:spacing w:after="0" w:line="276" w:lineRule="auto"/>
            </w:pPr>
            <w:r w:rsidRPr="009F49BD">
              <w:t>36 (15.0%)</w:t>
            </w:r>
          </w:p>
        </w:tc>
      </w:tr>
      <w:tr w:rsidR="00D7686B" w:rsidRPr="009F49BD" w14:paraId="475F69AD" w14:textId="77777777" w:rsidTr="00FB791D">
        <w:tc>
          <w:tcPr>
            <w:tcW w:w="6300" w:type="dxa"/>
          </w:tcPr>
          <w:p w14:paraId="16726370" w14:textId="77777777" w:rsidR="00D7686B" w:rsidRPr="003077EA" w:rsidRDefault="00D7686B" w:rsidP="00FB791D">
            <w:pPr>
              <w:spacing w:after="0" w:line="276" w:lineRule="auto"/>
            </w:pPr>
            <w:r w:rsidRPr="003077EA">
              <w:t>RLS under Valsalva: Moderate – n (%)</w:t>
            </w:r>
          </w:p>
        </w:tc>
        <w:tc>
          <w:tcPr>
            <w:tcW w:w="2700" w:type="dxa"/>
          </w:tcPr>
          <w:p w14:paraId="3D5D8260" w14:textId="77777777" w:rsidR="00D7686B" w:rsidRPr="009F49BD" w:rsidRDefault="00D7686B" w:rsidP="00FB791D">
            <w:pPr>
              <w:spacing w:after="0" w:line="276" w:lineRule="auto"/>
            </w:pPr>
            <w:r w:rsidRPr="009F49BD">
              <w:t>34 (14.2%)</w:t>
            </w:r>
          </w:p>
        </w:tc>
      </w:tr>
      <w:tr w:rsidR="00D7686B" w:rsidRPr="009F49BD" w14:paraId="7EC001E4" w14:textId="77777777" w:rsidTr="00FB791D">
        <w:tc>
          <w:tcPr>
            <w:tcW w:w="6300" w:type="dxa"/>
          </w:tcPr>
          <w:p w14:paraId="3265F2A8" w14:textId="77777777" w:rsidR="00D7686B" w:rsidRPr="003077EA" w:rsidRDefault="00D7686B" w:rsidP="00FB791D">
            <w:pPr>
              <w:spacing w:after="0" w:line="276" w:lineRule="auto"/>
            </w:pPr>
            <w:r w:rsidRPr="003077EA">
              <w:t>RLS under Valsalva: Large – n (%)</w:t>
            </w:r>
          </w:p>
        </w:tc>
        <w:tc>
          <w:tcPr>
            <w:tcW w:w="2700" w:type="dxa"/>
          </w:tcPr>
          <w:p w14:paraId="0C1AE496" w14:textId="77777777" w:rsidR="00D7686B" w:rsidRPr="009F49BD" w:rsidRDefault="00D7686B" w:rsidP="00FB791D">
            <w:pPr>
              <w:spacing w:after="0" w:line="276" w:lineRule="auto"/>
            </w:pPr>
            <w:r w:rsidRPr="009F49BD">
              <w:t>40 (16.7%)</w:t>
            </w:r>
          </w:p>
        </w:tc>
      </w:tr>
    </w:tbl>
    <w:p w14:paraId="271578E6" w14:textId="77777777" w:rsidR="00D7686B" w:rsidRPr="004A5435" w:rsidRDefault="00D7686B" w:rsidP="00D7686B">
      <w:pPr>
        <w:pStyle w:val="Caption"/>
        <w:rPr>
          <w:i/>
        </w:rPr>
      </w:pPr>
      <w:bookmarkStart w:id="1" w:name="_Ref69890710"/>
      <w:r w:rsidRPr="004A5435">
        <w:t>Table S</w:t>
      </w:r>
      <w:r w:rsidR="00B51E7B">
        <w:fldChar w:fldCharType="begin"/>
      </w:r>
      <w:r w:rsidR="00B51E7B">
        <w:instrText xml:space="preserve"> SEQ Table \* ARABIC </w:instrText>
      </w:r>
      <w:r w:rsidR="00B51E7B">
        <w:fldChar w:fldCharType="separate"/>
      </w:r>
      <w:r w:rsidRPr="004A5435">
        <w:rPr>
          <w:noProof/>
        </w:rPr>
        <w:t>1</w:t>
      </w:r>
      <w:r w:rsidR="00B51E7B">
        <w:rPr>
          <w:noProof/>
        </w:rPr>
        <w:fldChar w:fldCharType="end"/>
      </w:r>
      <w:bookmarkEnd w:id="1"/>
      <w:r w:rsidRPr="004A5435">
        <w:t xml:space="preserve">. Results of the non-invasive ultrasound diagnostics of the 240 study participants. </w:t>
      </w:r>
      <w:r w:rsidRPr="004A5435">
        <w:br/>
        <w:t>ICA, internal carotid artery; ECA, external carotid artery; CCA, common carotid artery; RLS, right-to-left-shunt</w:t>
      </w:r>
      <w:r>
        <w:t>; IQR, interquartile range</w:t>
      </w:r>
      <w:r w:rsidRPr="004A5435">
        <w:br/>
      </w:r>
    </w:p>
    <w:p w14:paraId="7DCBC6C6" w14:textId="77777777" w:rsidR="00D7686B" w:rsidRPr="004252EC" w:rsidRDefault="00D7686B" w:rsidP="00D7686B"/>
    <w:p w14:paraId="0D95951D" w14:textId="77777777" w:rsidR="00D7686B" w:rsidRDefault="00D7686B" w:rsidP="00D7686B">
      <w:pPr>
        <w:rPr>
          <w:rFonts w:eastAsiaTheme="majorEastAsia" w:cstheme="majorBidi"/>
          <w:color w:val="000000" w:themeColor="text1"/>
          <w:sz w:val="32"/>
          <w:szCs w:val="32"/>
        </w:rPr>
      </w:pPr>
      <w:r>
        <w:br w:type="page"/>
      </w:r>
    </w:p>
    <w:p w14:paraId="3E8644B0" w14:textId="77777777" w:rsidR="00D7686B" w:rsidRPr="009F49BD" w:rsidRDefault="00D7686B" w:rsidP="00D7686B">
      <w:pPr>
        <w:pStyle w:val="Heading1"/>
        <w:rPr>
          <w:sz w:val="8"/>
          <w:szCs w:val="8"/>
        </w:rPr>
      </w:pPr>
    </w:p>
    <w:tbl>
      <w:tblPr>
        <w:tblStyle w:val="TableGrid"/>
        <w:tblW w:w="9270" w:type="dxa"/>
        <w:tblBorders>
          <w:top w:val="single" w:sz="4" w:space="0" w:color="A6A6A6" w:themeColor="background1" w:themeShade="A6"/>
          <w:left w:val="none" w:sz="0" w:space="0" w:color="auto"/>
          <w:bottom w:val="single" w:sz="4" w:space="0" w:color="A6A6A6" w:themeColor="background1" w:themeShade="A6"/>
          <w:right w:val="none" w:sz="0" w:space="0" w:color="auto"/>
          <w:insideH w:val="single" w:sz="4" w:space="0" w:color="A6A6A6" w:themeColor="background1" w:themeShade="A6"/>
          <w:insideV w:val="none" w:sz="0" w:space="0" w:color="auto"/>
        </w:tblBorders>
        <w:tblLook w:val="04A0" w:firstRow="1" w:lastRow="0" w:firstColumn="1" w:lastColumn="0" w:noHBand="0" w:noVBand="1"/>
      </w:tblPr>
      <w:tblGrid>
        <w:gridCol w:w="1260"/>
        <w:gridCol w:w="2970"/>
        <w:gridCol w:w="2430"/>
        <w:gridCol w:w="2091"/>
        <w:gridCol w:w="442"/>
        <w:gridCol w:w="77"/>
      </w:tblGrid>
      <w:tr w:rsidR="00D7686B" w:rsidRPr="00B228BF" w14:paraId="01E66B39" w14:textId="77777777" w:rsidTr="00B228BF">
        <w:tc>
          <w:tcPr>
            <w:tcW w:w="1260" w:type="dxa"/>
          </w:tcPr>
          <w:p w14:paraId="4005F4E5" w14:textId="77777777" w:rsidR="00D7686B" w:rsidRPr="00B228BF" w:rsidRDefault="00D7686B" w:rsidP="00FB791D">
            <w:pPr>
              <w:spacing w:after="0"/>
              <w:jc w:val="center"/>
              <w:rPr>
                <w:b/>
                <w:bCs/>
                <w:sz w:val="20"/>
                <w:szCs w:val="20"/>
              </w:rPr>
            </w:pPr>
            <w:r w:rsidRPr="00B228BF">
              <w:rPr>
                <w:b/>
                <w:bCs/>
                <w:sz w:val="20"/>
                <w:szCs w:val="20"/>
              </w:rPr>
              <w:t xml:space="preserve">Patients </w:t>
            </w:r>
            <w:r w:rsidRPr="00B228BF">
              <w:rPr>
                <w:b/>
                <w:bCs/>
                <w:sz w:val="20"/>
                <w:szCs w:val="20"/>
              </w:rPr>
              <w:br/>
              <w:t>n (%)</w:t>
            </w:r>
          </w:p>
        </w:tc>
        <w:tc>
          <w:tcPr>
            <w:tcW w:w="2970" w:type="dxa"/>
          </w:tcPr>
          <w:p w14:paraId="3F90D0AE" w14:textId="77777777" w:rsidR="00D7686B" w:rsidRPr="00B228BF" w:rsidRDefault="00D7686B" w:rsidP="00FB791D">
            <w:pPr>
              <w:spacing w:after="0"/>
              <w:jc w:val="center"/>
              <w:rPr>
                <w:b/>
                <w:bCs/>
                <w:sz w:val="20"/>
                <w:szCs w:val="20"/>
              </w:rPr>
            </w:pPr>
            <w:r w:rsidRPr="00B228BF">
              <w:rPr>
                <w:b/>
                <w:bCs/>
                <w:sz w:val="20"/>
                <w:szCs w:val="20"/>
              </w:rPr>
              <w:t>TEE findings</w:t>
            </w:r>
          </w:p>
        </w:tc>
        <w:tc>
          <w:tcPr>
            <w:tcW w:w="2430" w:type="dxa"/>
          </w:tcPr>
          <w:p w14:paraId="31A274BC" w14:textId="77777777" w:rsidR="00D7686B" w:rsidRPr="00B228BF" w:rsidRDefault="00D7686B" w:rsidP="00FB791D">
            <w:pPr>
              <w:spacing w:after="0"/>
              <w:jc w:val="center"/>
              <w:rPr>
                <w:b/>
                <w:bCs/>
                <w:sz w:val="20"/>
                <w:szCs w:val="20"/>
              </w:rPr>
            </w:pPr>
            <w:r w:rsidRPr="00B228BF">
              <w:rPr>
                <w:b/>
                <w:bCs/>
                <w:sz w:val="20"/>
                <w:szCs w:val="20"/>
              </w:rPr>
              <w:t>Further work-up</w:t>
            </w:r>
          </w:p>
        </w:tc>
        <w:tc>
          <w:tcPr>
            <w:tcW w:w="2610" w:type="dxa"/>
            <w:gridSpan w:val="3"/>
          </w:tcPr>
          <w:p w14:paraId="40651BC0" w14:textId="77777777" w:rsidR="00D7686B" w:rsidRPr="00B228BF" w:rsidRDefault="00D7686B" w:rsidP="00FB791D">
            <w:pPr>
              <w:spacing w:after="0"/>
              <w:jc w:val="center"/>
              <w:rPr>
                <w:b/>
                <w:bCs/>
                <w:sz w:val="20"/>
                <w:szCs w:val="20"/>
              </w:rPr>
            </w:pPr>
            <w:r w:rsidRPr="00B228BF">
              <w:rPr>
                <w:b/>
                <w:bCs/>
                <w:sz w:val="20"/>
                <w:szCs w:val="20"/>
              </w:rPr>
              <w:t>Therapeutic consequence</w:t>
            </w:r>
          </w:p>
        </w:tc>
      </w:tr>
      <w:tr w:rsidR="00D7686B" w:rsidRPr="00B228BF" w14:paraId="06AF3F5C" w14:textId="77777777" w:rsidTr="00B228BF">
        <w:trPr>
          <w:gridAfter w:val="2"/>
          <w:wAfter w:w="519" w:type="dxa"/>
        </w:trPr>
        <w:tc>
          <w:tcPr>
            <w:tcW w:w="8751" w:type="dxa"/>
            <w:gridSpan w:val="4"/>
          </w:tcPr>
          <w:p w14:paraId="7FAC0E58" w14:textId="77777777" w:rsidR="00D7686B" w:rsidRPr="00B228BF" w:rsidRDefault="00D7686B" w:rsidP="00FB791D">
            <w:pPr>
              <w:spacing w:before="100" w:after="100"/>
              <w:jc w:val="center"/>
              <w:rPr>
                <w:b/>
                <w:bCs/>
                <w:sz w:val="20"/>
                <w:szCs w:val="20"/>
              </w:rPr>
            </w:pPr>
            <w:r w:rsidRPr="00B228BF">
              <w:rPr>
                <w:b/>
                <w:bCs/>
                <w:sz w:val="20"/>
                <w:szCs w:val="20"/>
              </w:rPr>
              <w:t xml:space="preserve">Non-invasive ultrasound negative (n = 68, 28.3%) </w:t>
            </w:r>
          </w:p>
        </w:tc>
      </w:tr>
      <w:tr w:rsidR="00D7686B" w:rsidRPr="00B228BF" w14:paraId="603990E7" w14:textId="77777777" w:rsidTr="00B228BF">
        <w:trPr>
          <w:gridAfter w:val="1"/>
          <w:wAfter w:w="77" w:type="dxa"/>
        </w:trPr>
        <w:tc>
          <w:tcPr>
            <w:tcW w:w="1260" w:type="dxa"/>
          </w:tcPr>
          <w:p w14:paraId="0C1E5A82" w14:textId="77777777" w:rsidR="00D7686B" w:rsidRPr="00B228BF" w:rsidRDefault="00D7686B" w:rsidP="00FB791D">
            <w:pPr>
              <w:spacing w:after="0"/>
              <w:jc w:val="center"/>
              <w:rPr>
                <w:sz w:val="20"/>
                <w:szCs w:val="20"/>
              </w:rPr>
            </w:pPr>
            <w:r w:rsidRPr="00B228BF">
              <w:rPr>
                <w:sz w:val="20"/>
                <w:szCs w:val="20"/>
              </w:rPr>
              <w:t>1 (0.4%)</w:t>
            </w:r>
          </w:p>
        </w:tc>
        <w:tc>
          <w:tcPr>
            <w:tcW w:w="2970" w:type="dxa"/>
          </w:tcPr>
          <w:p w14:paraId="0382D58B" w14:textId="77777777" w:rsidR="00D7686B" w:rsidRPr="00B228BF" w:rsidRDefault="00D7686B" w:rsidP="00FB791D">
            <w:pPr>
              <w:spacing w:after="0"/>
              <w:rPr>
                <w:sz w:val="20"/>
                <w:szCs w:val="20"/>
              </w:rPr>
            </w:pPr>
            <w:r w:rsidRPr="00B228BF">
              <w:rPr>
                <w:sz w:val="20"/>
                <w:szCs w:val="20"/>
              </w:rPr>
              <w:t>Contrast agent flow from pulmonary veins suspicious for PAVM</w:t>
            </w:r>
            <w:r w:rsidRPr="00B228BF">
              <w:rPr>
                <w:sz w:val="20"/>
                <w:szCs w:val="20"/>
              </w:rPr>
              <w:br/>
              <w:t>Small PFO with small shunt at rest</w:t>
            </w:r>
          </w:p>
        </w:tc>
        <w:tc>
          <w:tcPr>
            <w:tcW w:w="2430" w:type="dxa"/>
          </w:tcPr>
          <w:p w14:paraId="4D46DE55" w14:textId="77777777" w:rsidR="00D7686B" w:rsidRPr="00B228BF" w:rsidRDefault="00D7686B" w:rsidP="00FB791D">
            <w:pPr>
              <w:spacing w:after="0"/>
              <w:rPr>
                <w:sz w:val="20"/>
                <w:szCs w:val="20"/>
              </w:rPr>
            </w:pPr>
            <w:r w:rsidRPr="00B228BF">
              <w:rPr>
                <w:sz w:val="20"/>
                <w:szCs w:val="20"/>
              </w:rPr>
              <w:t>Chest CT with contrast: no PAVM, but</w:t>
            </w:r>
            <w:r w:rsidRPr="00B228BF">
              <w:rPr>
                <w:sz w:val="20"/>
                <w:szCs w:val="20"/>
              </w:rPr>
              <w:br/>
              <w:t>incidental bilateral pulmonary embolism</w:t>
            </w:r>
          </w:p>
        </w:tc>
        <w:tc>
          <w:tcPr>
            <w:tcW w:w="2533" w:type="dxa"/>
            <w:gridSpan w:val="2"/>
          </w:tcPr>
          <w:p w14:paraId="32CC3C7F" w14:textId="77777777" w:rsidR="00D7686B" w:rsidRPr="00B228BF" w:rsidRDefault="00D7686B" w:rsidP="00FB791D">
            <w:pPr>
              <w:spacing w:after="0"/>
              <w:rPr>
                <w:sz w:val="20"/>
                <w:szCs w:val="20"/>
              </w:rPr>
            </w:pPr>
            <w:r w:rsidRPr="00B228BF">
              <w:rPr>
                <w:sz w:val="20"/>
                <w:szCs w:val="20"/>
              </w:rPr>
              <w:t>Oral anticoagulation and PFO occlusion</w:t>
            </w:r>
          </w:p>
        </w:tc>
      </w:tr>
      <w:tr w:rsidR="00D7686B" w:rsidRPr="00B228BF" w14:paraId="4D7435C0" w14:textId="77777777" w:rsidTr="00B228BF">
        <w:trPr>
          <w:gridAfter w:val="1"/>
          <w:wAfter w:w="77" w:type="dxa"/>
        </w:trPr>
        <w:tc>
          <w:tcPr>
            <w:tcW w:w="1260" w:type="dxa"/>
          </w:tcPr>
          <w:p w14:paraId="1B78D3AC" w14:textId="77777777" w:rsidR="00D7686B" w:rsidRPr="00B228BF" w:rsidRDefault="00D7686B" w:rsidP="00FB791D">
            <w:pPr>
              <w:spacing w:after="0"/>
              <w:jc w:val="center"/>
              <w:rPr>
                <w:sz w:val="20"/>
                <w:szCs w:val="20"/>
              </w:rPr>
            </w:pPr>
            <w:r w:rsidRPr="00B228BF">
              <w:rPr>
                <w:sz w:val="20"/>
                <w:szCs w:val="20"/>
              </w:rPr>
              <w:t>1 (0.4%)</w:t>
            </w:r>
          </w:p>
        </w:tc>
        <w:tc>
          <w:tcPr>
            <w:tcW w:w="2970" w:type="dxa"/>
          </w:tcPr>
          <w:p w14:paraId="055D3A97" w14:textId="77777777" w:rsidR="00D7686B" w:rsidRPr="00B228BF" w:rsidRDefault="00D7686B" w:rsidP="00FB791D">
            <w:pPr>
              <w:spacing w:after="0"/>
              <w:rPr>
                <w:sz w:val="20"/>
                <w:szCs w:val="20"/>
              </w:rPr>
            </w:pPr>
            <w:r w:rsidRPr="00B228BF">
              <w:rPr>
                <w:sz w:val="20"/>
                <w:szCs w:val="20"/>
              </w:rPr>
              <w:t xml:space="preserve">PFO with small shunt at rest and moderate shunt under Valsalva maneuver </w:t>
            </w:r>
          </w:p>
        </w:tc>
        <w:tc>
          <w:tcPr>
            <w:tcW w:w="2430" w:type="dxa"/>
          </w:tcPr>
          <w:p w14:paraId="649D62CF" w14:textId="77777777" w:rsidR="00D7686B" w:rsidRPr="00B228BF" w:rsidRDefault="00D7686B" w:rsidP="00FB791D">
            <w:pPr>
              <w:spacing w:after="0"/>
              <w:rPr>
                <w:sz w:val="20"/>
                <w:szCs w:val="20"/>
              </w:rPr>
            </w:pPr>
            <w:r w:rsidRPr="00B228BF">
              <w:rPr>
                <w:sz w:val="20"/>
                <w:szCs w:val="20"/>
              </w:rPr>
              <w:t>MRI without ischemic lesions</w:t>
            </w:r>
          </w:p>
        </w:tc>
        <w:tc>
          <w:tcPr>
            <w:tcW w:w="2533" w:type="dxa"/>
            <w:gridSpan w:val="2"/>
          </w:tcPr>
          <w:p w14:paraId="04E482A2" w14:textId="77777777" w:rsidR="00D7686B" w:rsidRPr="00B228BF" w:rsidRDefault="00D7686B" w:rsidP="00FB791D">
            <w:pPr>
              <w:spacing w:after="0"/>
              <w:rPr>
                <w:sz w:val="20"/>
                <w:szCs w:val="20"/>
              </w:rPr>
            </w:pPr>
            <w:r w:rsidRPr="00B228BF">
              <w:rPr>
                <w:sz w:val="20"/>
                <w:szCs w:val="20"/>
              </w:rPr>
              <w:t>None</w:t>
            </w:r>
          </w:p>
        </w:tc>
      </w:tr>
      <w:tr w:rsidR="00D7686B" w:rsidRPr="00B228BF" w14:paraId="2D0D0E25" w14:textId="77777777" w:rsidTr="00B228BF">
        <w:trPr>
          <w:gridAfter w:val="1"/>
          <w:wAfter w:w="77" w:type="dxa"/>
        </w:trPr>
        <w:tc>
          <w:tcPr>
            <w:tcW w:w="1260" w:type="dxa"/>
          </w:tcPr>
          <w:p w14:paraId="7E3EE9BA" w14:textId="77777777" w:rsidR="00D7686B" w:rsidRPr="00B228BF" w:rsidRDefault="00D7686B" w:rsidP="00FB791D">
            <w:pPr>
              <w:spacing w:after="0"/>
              <w:jc w:val="center"/>
              <w:rPr>
                <w:sz w:val="20"/>
                <w:szCs w:val="20"/>
              </w:rPr>
            </w:pPr>
            <w:r w:rsidRPr="00B228BF">
              <w:rPr>
                <w:sz w:val="20"/>
                <w:szCs w:val="20"/>
              </w:rPr>
              <w:t>1 (0.4%)</w:t>
            </w:r>
          </w:p>
        </w:tc>
        <w:tc>
          <w:tcPr>
            <w:tcW w:w="2970" w:type="dxa"/>
          </w:tcPr>
          <w:p w14:paraId="4E9982C0" w14:textId="77777777" w:rsidR="00D7686B" w:rsidRPr="00B228BF" w:rsidRDefault="00D7686B" w:rsidP="00FB791D">
            <w:pPr>
              <w:spacing w:after="0"/>
              <w:rPr>
                <w:sz w:val="20"/>
                <w:szCs w:val="20"/>
              </w:rPr>
            </w:pPr>
            <w:r w:rsidRPr="00B228BF">
              <w:rPr>
                <w:sz w:val="20"/>
                <w:szCs w:val="20"/>
              </w:rPr>
              <w:t>Small PFO without shunt at rest and minimal shunt under Valsalva maneuver (two bubbles)</w:t>
            </w:r>
          </w:p>
        </w:tc>
        <w:tc>
          <w:tcPr>
            <w:tcW w:w="2430" w:type="dxa"/>
          </w:tcPr>
          <w:p w14:paraId="7239D517" w14:textId="77777777" w:rsidR="00D7686B" w:rsidRPr="00B228BF" w:rsidRDefault="00D7686B" w:rsidP="00FB791D">
            <w:pPr>
              <w:spacing w:after="0"/>
              <w:rPr>
                <w:sz w:val="20"/>
                <w:szCs w:val="20"/>
              </w:rPr>
            </w:pPr>
            <w:r w:rsidRPr="00B228BF">
              <w:rPr>
                <w:sz w:val="20"/>
                <w:szCs w:val="20"/>
              </w:rPr>
              <w:t>MRI with suspicion of punctiform deep ischemic lesion in pons</w:t>
            </w:r>
          </w:p>
        </w:tc>
        <w:tc>
          <w:tcPr>
            <w:tcW w:w="2533" w:type="dxa"/>
            <w:gridSpan w:val="2"/>
          </w:tcPr>
          <w:p w14:paraId="2FB0CF4A" w14:textId="77777777" w:rsidR="00D7686B" w:rsidRPr="00B228BF" w:rsidRDefault="00D7686B" w:rsidP="00FB791D">
            <w:pPr>
              <w:spacing w:after="0"/>
              <w:rPr>
                <w:sz w:val="20"/>
                <w:szCs w:val="20"/>
              </w:rPr>
            </w:pPr>
            <w:r w:rsidRPr="00B228BF">
              <w:rPr>
                <w:sz w:val="20"/>
                <w:szCs w:val="20"/>
              </w:rPr>
              <w:t>None</w:t>
            </w:r>
          </w:p>
        </w:tc>
      </w:tr>
      <w:tr w:rsidR="00D7686B" w:rsidRPr="00B228BF" w14:paraId="06749E39" w14:textId="77777777" w:rsidTr="00B228BF">
        <w:trPr>
          <w:gridAfter w:val="1"/>
          <w:wAfter w:w="77" w:type="dxa"/>
        </w:trPr>
        <w:tc>
          <w:tcPr>
            <w:tcW w:w="1260" w:type="dxa"/>
          </w:tcPr>
          <w:p w14:paraId="68E4671F" w14:textId="77777777" w:rsidR="00D7686B" w:rsidRPr="00B228BF" w:rsidRDefault="00D7686B" w:rsidP="00FB791D">
            <w:pPr>
              <w:spacing w:after="0"/>
              <w:jc w:val="center"/>
              <w:rPr>
                <w:sz w:val="20"/>
                <w:szCs w:val="20"/>
              </w:rPr>
            </w:pPr>
            <w:r w:rsidRPr="00B228BF">
              <w:rPr>
                <w:sz w:val="20"/>
                <w:szCs w:val="20"/>
              </w:rPr>
              <w:t>1 (0.4%)</w:t>
            </w:r>
          </w:p>
        </w:tc>
        <w:tc>
          <w:tcPr>
            <w:tcW w:w="2970" w:type="dxa"/>
          </w:tcPr>
          <w:p w14:paraId="1D550D9F" w14:textId="77777777" w:rsidR="00D7686B" w:rsidRPr="00B228BF" w:rsidRDefault="00D7686B" w:rsidP="00FB791D">
            <w:pPr>
              <w:spacing w:after="0"/>
              <w:rPr>
                <w:sz w:val="20"/>
                <w:szCs w:val="20"/>
              </w:rPr>
            </w:pPr>
            <w:r w:rsidRPr="00B228BF">
              <w:rPr>
                <w:sz w:val="20"/>
                <w:szCs w:val="20"/>
              </w:rPr>
              <w:t>Ostium secundum atrial septal defect without RLS</w:t>
            </w:r>
          </w:p>
        </w:tc>
        <w:tc>
          <w:tcPr>
            <w:tcW w:w="2430" w:type="dxa"/>
          </w:tcPr>
          <w:p w14:paraId="62F83BD1" w14:textId="77777777" w:rsidR="00D7686B" w:rsidRPr="00B228BF" w:rsidRDefault="00D7686B" w:rsidP="00FB791D">
            <w:pPr>
              <w:spacing w:after="0"/>
              <w:rPr>
                <w:sz w:val="20"/>
                <w:szCs w:val="20"/>
              </w:rPr>
            </w:pPr>
            <w:r w:rsidRPr="00B228BF">
              <w:rPr>
                <w:sz w:val="20"/>
                <w:szCs w:val="20"/>
              </w:rPr>
              <w:t>MRI without ischemic lesions</w:t>
            </w:r>
          </w:p>
        </w:tc>
        <w:tc>
          <w:tcPr>
            <w:tcW w:w="2533" w:type="dxa"/>
            <w:gridSpan w:val="2"/>
          </w:tcPr>
          <w:p w14:paraId="681B9D76" w14:textId="77777777" w:rsidR="00D7686B" w:rsidRPr="00B228BF" w:rsidRDefault="00D7686B" w:rsidP="00FB791D">
            <w:pPr>
              <w:spacing w:after="0"/>
              <w:rPr>
                <w:sz w:val="20"/>
                <w:szCs w:val="20"/>
              </w:rPr>
            </w:pPr>
            <w:r w:rsidRPr="00B228BF">
              <w:rPr>
                <w:sz w:val="20"/>
                <w:szCs w:val="20"/>
              </w:rPr>
              <w:t>None</w:t>
            </w:r>
          </w:p>
        </w:tc>
      </w:tr>
      <w:tr w:rsidR="00D7686B" w:rsidRPr="00B228BF" w14:paraId="2B036AF3" w14:textId="77777777" w:rsidTr="00B228BF">
        <w:trPr>
          <w:gridAfter w:val="1"/>
          <w:wAfter w:w="77" w:type="dxa"/>
        </w:trPr>
        <w:tc>
          <w:tcPr>
            <w:tcW w:w="1260" w:type="dxa"/>
          </w:tcPr>
          <w:p w14:paraId="42E6A8D4" w14:textId="77777777" w:rsidR="00D7686B" w:rsidRPr="00B228BF" w:rsidRDefault="00D7686B" w:rsidP="00FB791D">
            <w:pPr>
              <w:spacing w:after="0"/>
              <w:jc w:val="center"/>
              <w:rPr>
                <w:sz w:val="20"/>
                <w:szCs w:val="20"/>
              </w:rPr>
            </w:pPr>
            <w:r w:rsidRPr="00B228BF">
              <w:rPr>
                <w:sz w:val="20"/>
                <w:szCs w:val="20"/>
              </w:rPr>
              <w:t>1 (0.4%)</w:t>
            </w:r>
          </w:p>
        </w:tc>
        <w:tc>
          <w:tcPr>
            <w:tcW w:w="2970" w:type="dxa"/>
          </w:tcPr>
          <w:p w14:paraId="25E7A8BB" w14:textId="77777777" w:rsidR="00D7686B" w:rsidRPr="00B228BF" w:rsidRDefault="00D7686B" w:rsidP="00FB791D">
            <w:pPr>
              <w:spacing w:after="0"/>
              <w:rPr>
                <w:sz w:val="20"/>
                <w:szCs w:val="20"/>
              </w:rPr>
            </w:pPr>
            <w:r w:rsidRPr="00B228BF">
              <w:rPr>
                <w:sz w:val="20"/>
                <w:szCs w:val="20"/>
              </w:rPr>
              <w:t>LAA flow velocity 25 cm/s, spontaneous echo contrast without thrombi</w:t>
            </w:r>
          </w:p>
        </w:tc>
        <w:tc>
          <w:tcPr>
            <w:tcW w:w="2430" w:type="dxa"/>
          </w:tcPr>
          <w:p w14:paraId="4340CDFF" w14:textId="77777777" w:rsidR="00D7686B" w:rsidRPr="00B228BF" w:rsidRDefault="00D7686B" w:rsidP="00FB791D">
            <w:pPr>
              <w:spacing w:after="0"/>
              <w:rPr>
                <w:sz w:val="20"/>
                <w:szCs w:val="20"/>
              </w:rPr>
            </w:pPr>
            <w:r w:rsidRPr="00B228BF">
              <w:rPr>
                <w:sz w:val="20"/>
                <w:szCs w:val="20"/>
              </w:rPr>
              <w:t>ECG over five days without evidence of atrial fibrillation</w:t>
            </w:r>
          </w:p>
        </w:tc>
        <w:tc>
          <w:tcPr>
            <w:tcW w:w="2533" w:type="dxa"/>
            <w:gridSpan w:val="2"/>
          </w:tcPr>
          <w:p w14:paraId="282B9517" w14:textId="77777777" w:rsidR="00D7686B" w:rsidRPr="00B228BF" w:rsidRDefault="00D7686B" w:rsidP="00FB791D">
            <w:pPr>
              <w:spacing w:after="0"/>
              <w:rPr>
                <w:sz w:val="20"/>
                <w:szCs w:val="20"/>
              </w:rPr>
            </w:pPr>
            <w:r w:rsidRPr="00B228BF">
              <w:rPr>
                <w:sz w:val="20"/>
                <w:szCs w:val="20"/>
              </w:rPr>
              <w:t>None</w:t>
            </w:r>
          </w:p>
        </w:tc>
      </w:tr>
      <w:tr w:rsidR="00D7686B" w:rsidRPr="00B228BF" w14:paraId="21B8ED1A" w14:textId="77777777" w:rsidTr="00B228BF">
        <w:trPr>
          <w:gridAfter w:val="1"/>
          <w:wAfter w:w="77" w:type="dxa"/>
        </w:trPr>
        <w:tc>
          <w:tcPr>
            <w:tcW w:w="1260" w:type="dxa"/>
          </w:tcPr>
          <w:p w14:paraId="3D2AACB7" w14:textId="77777777" w:rsidR="00D7686B" w:rsidRPr="00B228BF" w:rsidRDefault="00D7686B" w:rsidP="00FB791D">
            <w:pPr>
              <w:spacing w:after="0"/>
              <w:jc w:val="center"/>
              <w:rPr>
                <w:sz w:val="20"/>
                <w:szCs w:val="20"/>
              </w:rPr>
            </w:pPr>
            <w:r w:rsidRPr="00B228BF">
              <w:rPr>
                <w:sz w:val="20"/>
                <w:szCs w:val="20"/>
              </w:rPr>
              <w:t>1 (0.4%)</w:t>
            </w:r>
          </w:p>
        </w:tc>
        <w:tc>
          <w:tcPr>
            <w:tcW w:w="2970" w:type="dxa"/>
          </w:tcPr>
          <w:p w14:paraId="2930CA6A" w14:textId="77777777" w:rsidR="00D7686B" w:rsidRPr="00B228BF" w:rsidRDefault="00D7686B" w:rsidP="00FB791D">
            <w:pPr>
              <w:spacing w:after="0"/>
              <w:rPr>
                <w:sz w:val="20"/>
                <w:szCs w:val="20"/>
              </w:rPr>
            </w:pPr>
            <w:r w:rsidRPr="00B228BF">
              <w:rPr>
                <w:sz w:val="20"/>
                <w:szCs w:val="20"/>
              </w:rPr>
              <w:t>Atherosclerotic plaques in aortic arch with thickness up to 4.9mm (= complex plaque)</w:t>
            </w:r>
          </w:p>
        </w:tc>
        <w:tc>
          <w:tcPr>
            <w:tcW w:w="2430" w:type="dxa"/>
          </w:tcPr>
          <w:p w14:paraId="4FD2077E" w14:textId="77777777" w:rsidR="00D7686B" w:rsidRPr="00B228BF" w:rsidRDefault="00D7686B" w:rsidP="00FB791D">
            <w:pPr>
              <w:spacing w:after="0"/>
              <w:rPr>
                <w:sz w:val="20"/>
                <w:szCs w:val="20"/>
              </w:rPr>
            </w:pPr>
            <w:r w:rsidRPr="00B228BF">
              <w:rPr>
                <w:sz w:val="20"/>
                <w:szCs w:val="20"/>
              </w:rPr>
              <w:t>MRI without ischemic lesions</w:t>
            </w:r>
            <w:r w:rsidRPr="00B228BF">
              <w:rPr>
                <w:sz w:val="20"/>
                <w:szCs w:val="20"/>
              </w:rPr>
              <w:br/>
            </w:r>
          </w:p>
        </w:tc>
        <w:tc>
          <w:tcPr>
            <w:tcW w:w="2533" w:type="dxa"/>
            <w:gridSpan w:val="2"/>
          </w:tcPr>
          <w:p w14:paraId="47765573" w14:textId="77777777" w:rsidR="00D7686B" w:rsidRPr="00B228BF" w:rsidRDefault="00D7686B" w:rsidP="00FB791D">
            <w:pPr>
              <w:spacing w:after="0"/>
              <w:rPr>
                <w:sz w:val="20"/>
                <w:szCs w:val="20"/>
              </w:rPr>
            </w:pPr>
            <w:r w:rsidRPr="00B228BF">
              <w:rPr>
                <w:sz w:val="20"/>
                <w:szCs w:val="20"/>
              </w:rPr>
              <w:t>Individual recommendation for dual platelet inhibition for three months</w:t>
            </w:r>
          </w:p>
        </w:tc>
      </w:tr>
      <w:tr w:rsidR="00D7686B" w:rsidRPr="00B228BF" w14:paraId="3D5D1C29" w14:textId="77777777" w:rsidTr="00B228BF">
        <w:trPr>
          <w:gridAfter w:val="1"/>
          <w:wAfter w:w="77" w:type="dxa"/>
        </w:trPr>
        <w:tc>
          <w:tcPr>
            <w:tcW w:w="1260" w:type="dxa"/>
          </w:tcPr>
          <w:p w14:paraId="4E6CCD7E" w14:textId="77777777" w:rsidR="00D7686B" w:rsidRPr="00B228BF" w:rsidRDefault="00D7686B" w:rsidP="00FB791D">
            <w:pPr>
              <w:spacing w:after="0"/>
              <w:jc w:val="center"/>
              <w:rPr>
                <w:sz w:val="20"/>
                <w:szCs w:val="20"/>
              </w:rPr>
            </w:pPr>
            <w:r w:rsidRPr="00B228BF">
              <w:rPr>
                <w:sz w:val="20"/>
                <w:szCs w:val="20"/>
              </w:rPr>
              <w:t>2 (0.8%)</w:t>
            </w:r>
          </w:p>
        </w:tc>
        <w:tc>
          <w:tcPr>
            <w:tcW w:w="2970" w:type="dxa"/>
          </w:tcPr>
          <w:p w14:paraId="3F144CD1" w14:textId="77777777" w:rsidR="00D7686B" w:rsidRPr="00B228BF" w:rsidRDefault="00D7686B" w:rsidP="00FB791D">
            <w:pPr>
              <w:spacing w:after="0"/>
              <w:rPr>
                <w:sz w:val="20"/>
                <w:szCs w:val="20"/>
              </w:rPr>
            </w:pPr>
            <w:r w:rsidRPr="00B228BF">
              <w:rPr>
                <w:sz w:val="20"/>
                <w:szCs w:val="20"/>
              </w:rPr>
              <w:t>Contrast agent flow over pulmonary veins suspicious for PAVM</w:t>
            </w:r>
          </w:p>
        </w:tc>
        <w:tc>
          <w:tcPr>
            <w:tcW w:w="2430" w:type="dxa"/>
          </w:tcPr>
          <w:p w14:paraId="08D3B2F0" w14:textId="77777777" w:rsidR="00D7686B" w:rsidRPr="00B228BF" w:rsidRDefault="00D7686B" w:rsidP="00FB791D">
            <w:pPr>
              <w:spacing w:after="0"/>
              <w:rPr>
                <w:sz w:val="20"/>
                <w:szCs w:val="20"/>
              </w:rPr>
            </w:pPr>
            <w:r w:rsidRPr="00B228BF">
              <w:rPr>
                <w:sz w:val="20"/>
                <w:szCs w:val="20"/>
              </w:rPr>
              <w:t>Chest CT with contrast: no PAVM</w:t>
            </w:r>
          </w:p>
        </w:tc>
        <w:tc>
          <w:tcPr>
            <w:tcW w:w="2533" w:type="dxa"/>
            <w:gridSpan w:val="2"/>
          </w:tcPr>
          <w:p w14:paraId="3C845FD4" w14:textId="77777777" w:rsidR="00D7686B" w:rsidRPr="00B228BF" w:rsidRDefault="00D7686B" w:rsidP="00FB791D">
            <w:pPr>
              <w:spacing w:after="0"/>
              <w:rPr>
                <w:sz w:val="20"/>
                <w:szCs w:val="20"/>
              </w:rPr>
            </w:pPr>
            <w:r w:rsidRPr="00B228BF">
              <w:rPr>
                <w:sz w:val="20"/>
                <w:szCs w:val="20"/>
              </w:rPr>
              <w:t>None</w:t>
            </w:r>
          </w:p>
        </w:tc>
      </w:tr>
      <w:tr w:rsidR="00D7686B" w:rsidRPr="00B228BF" w14:paraId="12706123" w14:textId="77777777" w:rsidTr="00B228BF">
        <w:trPr>
          <w:gridAfter w:val="2"/>
          <w:wAfter w:w="519" w:type="dxa"/>
        </w:trPr>
        <w:tc>
          <w:tcPr>
            <w:tcW w:w="8751" w:type="dxa"/>
            <w:gridSpan w:val="4"/>
          </w:tcPr>
          <w:p w14:paraId="380E2A0F" w14:textId="77777777" w:rsidR="00D7686B" w:rsidRPr="00B228BF" w:rsidRDefault="00D7686B" w:rsidP="00FB791D">
            <w:pPr>
              <w:spacing w:before="100" w:after="100"/>
              <w:jc w:val="center"/>
              <w:rPr>
                <w:b/>
                <w:bCs/>
                <w:sz w:val="20"/>
                <w:szCs w:val="20"/>
              </w:rPr>
            </w:pPr>
            <w:r w:rsidRPr="00B228BF">
              <w:rPr>
                <w:b/>
                <w:bCs/>
                <w:sz w:val="20"/>
                <w:szCs w:val="20"/>
              </w:rPr>
              <w:t>Non-invasive ultrasound positive (n = 172, 71.7%)</w:t>
            </w:r>
          </w:p>
        </w:tc>
      </w:tr>
      <w:tr w:rsidR="00D7686B" w:rsidRPr="00B228BF" w14:paraId="1A4F589E" w14:textId="77777777" w:rsidTr="00B228BF">
        <w:tc>
          <w:tcPr>
            <w:tcW w:w="1260" w:type="dxa"/>
          </w:tcPr>
          <w:p w14:paraId="7C4B2D77" w14:textId="77777777" w:rsidR="00D7686B" w:rsidRPr="00B228BF" w:rsidRDefault="00D7686B" w:rsidP="00FB791D">
            <w:pPr>
              <w:spacing w:after="0"/>
              <w:jc w:val="center"/>
              <w:rPr>
                <w:sz w:val="20"/>
                <w:szCs w:val="20"/>
              </w:rPr>
            </w:pPr>
            <w:r w:rsidRPr="00B228BF">
              <w:rPr>
                <w:sz w:val="20"/>
                <w:szCs w:val="20"/>
              </w:rPr>
              <w:t>93 (38.8%)</w:t>
            </w:r>
          </w:p>
        </w:tc>
        <w:tc>
          <w:tcPr>
            <w:tcW w:w="2970" w:type="dxa"/>
          </w:tcPr>
          <w:p w14:paraId="30EF43F0" w14:textId="0D9BD2C0" w:rsidR="00D7686B" w:rsidRPr="00B228BF" w:rsidRDefault="00D7686B" w:rsidP="00FB791D">
            <w:pPr>
              <w:spacing w:after="0"/>
              <w:rPr>
                <w:sz w:val="20"/>
                <w:szCs w:val="20"/>
              </w:rPr>
            </w:pPr>
            <w:r w:rsidRPr="00B228BF">
              <w:rPr>
                <w:sz w:val="20"/>
                <w:szCs w:val="20"/>
              </w:rPr>
              <w:t>PFO with RLS</w:t>
            </w:r>
            <w:r w:rsidRPr="00B228BF">
              <w:rPr>
                <w:sz w:val="20"/>
                <w:szCs w:val="20"/>
              </w:rPr>
              <w:br/>
              <w:t>Large n = 54 (58%)</w:t>
            </w:r>
            <w:r w:rsidRPr="00B228BF">
              <w:rPr>
                <w:sz w:val="20"/>
                <w:szCs w:val="20"/>
              </w:rPr>
              <w:br/>
              <w:t>Moderate n = 27 (29%)</w:t>
            </w:r>
            <w:r w:rsidRPr="00B228BF">
              <w:rPr>
                <w:sz w:val="20"/>
                <w:szCs w:val="20"/>
              </w:rPr>
              <w:br/>
              <w:t>Small n = 12 (13%)</w:t>
            </w:r>
          </w:p>
        </w:tc>
        <w:tc>
          <w:tcPr>
            <w:tcW w:w="2430" w:type="dxa"/>
          </w:tcPr>
          <w:p w14:paraId="660E1AD6" w14:textId="77777777" w:rsidR="00D7686B" w:rsidRPr="00B228BF" w:rsidRDefault="00D7686B" w:rsidP="00FB791D">
            <w:pPr>
              <w:spacing w:after="0"/>
              <w:rPr>
                <w:sz w:val="20"/>
                <w:szCs w:val="20"/>
              </w:rPr>
            </w:pPr>
            <w:r w:rsidRPr="00B228BF">
              <w:rPr>
                <w:sz w:val="20"/>
                <w:szCs w:val="20"/>
              </w:rPr>
              <w:t xml:space="preserve">Venous duplex imaging in 54 cases (55.6%) </w:t>
            </w:r>
            <w:r w:rsidRPr="00B228BF">
              <w:rPr>
                <w:sz w:val="20"/>
                <w:szCs w:val="20"/>
              </w:rPr>
              <w:br/>
              <w:t xml:space="preserve">Deep venous thrombosis in </w:t>
            </w:r>
            <w:r w:rsidRPr="00B228BF">
              <w:rPr>
                <w:sz w:val="20"/>
                <w:szCs w:val="20"/>
              </w:rPr>
              <w:br/>
              <w:t>six cases (6.5%)</w:t>
            </w:r>
          </w:p>
        </w:tc>
        <w:tc>
          <w:tcPr>
            <w:tcW w:w="2610" w:type="dxa"/>
            <w:gridSpan w:val="3"/>
          </w:tcPr>
          <w:p w14:paraId="46287CFA" w14:textId="77777777" w:rsidR="00D7686B" w:rsidRPr="00B228BF" w:rsidRDefault="00D7686B" w:rsidP="00FB791D">
            <w:pPr>
              <w:keepNext/>
              <w:spacing w:after="0"/>
              <w:rPr>
                <w:sz w:val="20"/>
                <w:szCs w:val="20"/>
              </w:rPr>
            </w:pPr>
            <w:r w:rsidRPr="00B228BF">
              <w:rPr>
                <w:sz w:val="20"/>
                <w:szCs w:val="20"/>
              </w:rPr>
              <w:t>PFO occlusion in 52 cases (55.9%)</w:t>
            </w:r>
          </w:p>
        </w:tc>
      </w:tr>
      <w:tr w:rsidR="00D7686B" w:rsidRPr="00B228BF" w14:paraId="0D73268F" w14:textId="77777777" w:rsidTr="00B228BF">
        <w:tc>
          <w:tcPr>
            <w:tcW w:w="1260" w:type="dxa"/>
          </w:tcPr>
          <w:p w14:paraId="7107580C" w14:textId="77777777" w:rsidR="00D7686B" w:rsidRPr="00B228BF" w:rsidRDefault="00D7686B" w:rsidP="00FB791D">
            <w:pPr>
              <w:spacing w:after="0"/>
              <w:jc w:val="center"/>
              <w:rPr>
                <w:sz w:val="20"/>
                <w:szCs w:val="20"/>
              </w:rPr>
            </w:pPr>
            <w:r w:rsidRPr="00B228BF">
              <w:rPr>
                <w:sz w:val="20"/>
                <w:szCs w:val="20"/>
              </w:rPr>
              <w:t>9 (3.8%)</w:t>
            </w:r>
          </w:p>
        </w:tc>
        <w:tc>
          <w:tcPr>
            <w:tcW w:w="2970" w:type="dxa"/>
          </w:tcPr>
          <w:p w14:paraId="41C9BC78" w14:textId="77777777" w:rsidR="00D7686B" w:rsidRPr="00B228BF" w:rsidRDefault="00D7686B" w:rsidP="00FB791D">
            <w:pPr>
              <w:spacing w:after="0"/>
              <w:rPr>
                <w:sz w:val="20"/>
                <w:szCs w:val="20"/>
              </w:rPr>
            </w:pPr>
            <w:r w:rsidRPr="00B228BF">
              <w:rPr>
                <w:sz w:val="20"/>
                <w:szCs w:val="20"/>
              </w:rPr>
              <w:t>Complex aortic plaques, median 6, IQR 2.3 mm thick; one with mobile thrombi</w:t>
            </w:r>
          </w:p>
        </w:tc>
        <w:tc>
          <w:tcPr>
            <w:tcW w:w="2430" w:type="dxa"/>
          </w:tcPr>
          <w:p w14:paraId="73502806" w14:textId="77777777" w:rsidR="00D7686B" w:rsidRPr="00B228BF" w:rsidRDefault="00D7686B" w:rsidP="00FB791D">
            <w:pPr>
              <w:spacing w:after="0"/>
              <w:rPr>
                <w:sz w:val="20"/>
                <w:szCs w:val="20"/>
              </w:rPr>
            </w:pPr>
          </w:p>
        </w:tc>
        <w:tc>
          <w:tcPr>
            <w:tcW w:w="2610" w:type="dxa"/>
            <w:gridSpan w:val="3"/>
          </w:tcPr>
          <w:p w14:paraId="651C659D" w14:textId="77777777" w:rsidR="00D7686B" w:rsidRPr="00B228BF" w:rsidRDefault="00D7686B" w:rsidP="00FB791D">
            <w:pPr>
              <w:keepNext/>
              <w:spacing w:after="0"/>
              <w:rPr>
                <w:sz w:val="20"/>
                <w:szCs w:val="20"/>
                <w:highlight w:val="yellow"/>
              </w:rPr>
            </w:pPr>
            <w:r w:rsidRPr="00B228BF">
              <w:rPr>
                <w:sz w:val="20"/>
                <w:szCs w:val="20"/>
              </w:rPr>
              <w:t>Individual recommendation for dual platelet inhibition for three months in n = 5 cases (55.6%)</w:t>
            </w:r>
          </w:p>
        </w:tc>
      </w:tr>
      <w:tr w:rsidR="00D7686B" w:rsidRPr="00B228BF" w14:paraId="6684238E" w14:textId="77777777" w:rsidTr="00B228BF">
        <w:tc>
          <w:tcPr>
            <w:tcW w:w="1260" w:type="dxa"/>
          </w:tcPr>
          <w:p w14:paraId="159AEC5B" w14:textId="77777777" w:rsidR="00D7686B" w:rsidRPr="00B228BF" w:rsidRDefault="00D7686B" w:rsidP="00FB791D">
            <w:pPr>
              <w:spacing w:after="0"/>
              <w:jc w:val="center"/>
              <w:rPr>
                <w:sz w:val="20"/>
                <w:szCs w:val="20"/>
              </w:rPr>
            </w:pPr>
            <w:r w:rsidRPr="00B228BF">
              <w:rPr>
                <w:sz w:val="20"/>
                <w:szCs w:val="20"/>
              </w:rPr>
              <w:t>1 (0.4%)</w:t>
            </w:r>
          </w:p>
        </w:tc>
        <w:tc>
          <w:tcPr>
            <w:tcW w:w="2970" w:type="dxa"/>
          </w:tcPr>
          <w:p w14:paraId="736A1F92" w14:textId="77777777" w:rsidR="00D7686B" w:rsidRPr="00B228BF" w:rsidRDefault="00D7686B" w:rsidP="00FB791D">
            <w:pPr>
              <w:spacing w:after="0"/>
              <w:rPr>
                <w:sz w:val="20"/>
                <w:szCs w:val="20"/>
              </w:rPr>
            </w:pPr>
            <w:r w:rsidRPr="00B228BF">
              <w:rPr>
                <w:sz w:val="20"/>
                <w:szCs w:val="20"/>
              </w:rPr>
              <w:t>LAA flow velocity 29.5 cm/s</w:t>
            </w:r>
          </w:p>
        </w:tc>
        <w:tc>
          <w:tcPr>
            <w:tcW w:w="2430" w:type="dxa"/>
          </w:tcPr>
          <w:p w14:paraId="494A0CF0" w14:textId="77777777" w:rsidR="00D7686B" w:rsidRPr="00B228BF" w:rsidRDefault="00D7686B" w:rsidP="00FB791D">
            <w:pPr>
              <w:spacing w:after="0"/>
              <w:rPr>
                <w:sz w:val="20"/>
                <w:szCs w:val="20"/>
              </w:rPr>
            </w:pPr>
            <w:r w:rsidRPr="00B228BF">
              <w:rPr>
                <w:sz w:val="20"/>
                <w:szCs w:val="20"/>
              </w:rPr>
              <w:t>ECG over four days without evidence of atrial fibrillation</w:t>
            </w:r>
          </w:p>
        </w:tc>
        <w:tc>
          <w:tcPr>
            <w:tcW w:w="2610" w:type="dxa"/>
            <w:gridSpan w:val="3"/>
          </w:tcPr>
          <w:p w14:paraId="38DF386B" w14:textId="77777777" w:rsidR="00D7686B" w:rsidRPr="00B228BF" w:rsidRDefault="00D7686B" w:rsidP="00FB791D">
            <w:pPr>
              <w:spacing w:after="0"/>
              <w:rPr>
                <w:sz w:val="20"/>
                <w:szCs w:val="20"/>
              </w:rPr>
            </w:pPr>
            <w:r w:rsidRPr="00B228BF">
              <w:rPr>
                <w:sz w:val="20"/>
                <w:szCs w:val="20"/>
              </w:rPr>
              <w:t>None</w:t>
            </w:r>
          </w:p>
        </w:tc>
      </w:tr>
      <w:tr w:rsidR="00D7686B" w:rsidRPr="00B228BF" w14:paraId="1B293569" w14:textId="77777777" w:rsidTr="00B228BF">
        <w:tc>
          <w:tcPr>
            <w:tcW w:w="1260" w:type="dxa"/>
          </w:tcPr>
          <w:p w14:paraId="7654F1BF" w14:textId="77777777" w:rsidR="00D7686B" w:rsidRPr="00B228BF" w:rsidRDefault="00D7686B" w:rsidP="00FB791D">
            <w:pPr>
              <w:spacing w:after="0"/>
              <w:jc w:val="center"/>
              <w:rPr>
                <w:sz w:val="20"/>
                <w:szCs w:val="20"/>
              </w:rPr>
            </w:pPr>
            <w:r w:rsidRPr="00B228BF">
              <w:rPr>
                <w:sz w:val="20"/>
                <w:szCs w:val="20"/>
              </w:rPr>
              <w:t>1 (0.4%)</w:t>
            </w:r>
          </w:p>
        </w:tc>
        <w:tc>
          <w:tcPr>
            <w:tcW w:w="2970" w:type="dxa"/>
          </w:tcPr>
          <w:p w14:paraId="33CB338F" w14:textId="77777777" w:rsidR="00D7686B" w:rsidRPr="00B228BF" w:rsidRDefault="00D7686B" w:rsidP="00FB791D">
            <w:pPr>
              <w:spacing w:after="0"/>
              <w:rPr>
                <w:sz w:val="20"/>
                <w:szCs w:val="20"/>
              </w:rPr>
            </w:pPr>
            <w:r w:rsidRPr="00B228BF">
              <w:rPr>
                <w:sz w:val="20"/>
                <w:szCs w:val="20"/>
              </w:rPr>
              <w:t>small floating structure on the aortic valve of undetermined significance</w:t>
            </w:r>
          </w:p>
        </w:tc>
        <w:tc>
          <w:tcPr>
            <w:tcW w:w="2430" w:type="dxa"/>
          </w:tcPr>
          <w:p w14:paraId="1585C281" w14:textId="77777777" w:rsidR="00D7686B" w:rsidRPr="00B228BF" w:rsidRDefault="00D7686B" w:rsidP="00FB791D">
            <w:pPr>
              <w:spacing w:after="0"/>
              <w:rPr>
                <w:sz w:val="20"/>
                <w:szCs w:val="20"/>
              </w:rPr>
            </w:pPr>
            <w:r w:rsidRPr="00B228BF">
              <w:rPr>
                <w:sz w:val="20"/>
                <w:szCs w:val="20"/>
              </w:rPr>
              <w:t xml:space="preserve">Stable finding in follow-up TEE after eight months </w:t>
            </w:r>
          </w:p>
        </w:tc>
        <w:tc>
          <w:tcPr>
            <w:tcW w:w="2610" w:type="dxa"/>
            <w:gridSpan w:val="3"/>
          </w:tcPr>
          <w:p w14:paraId="47838244" w14:textId="77777777" w:rsidR="00D7686B" w:rsidRPr="00B228BF" w:rsidRDefault="00D7686B" w:rsidP="00FB791D">
            <w:pPr>
              <w:keepNext/>
              <w:spacing w:after="0"/>
              <w:rPr>
                <w:sz w:val="20"/>
                <w:szCs w:val="20"/>
              </w:rPr>
            </w:pPr>
            <w:r w:rsidRPr="00B228BF">
              <w:rPr>
                <w:sz w:val="20"/>
                <w:szCs w:val="20"/>
              </w:rPr>
              <w:t>None</w:t>
            </w:r>
          </w:p>
        </w:tc>
      </w:tr>
    </w:tbl>
    <w:p w14:paraId="16F2B44B" w14:textId="2B9E7170" w:rsidR="00D7686B" w:rsidRDefault="00D7686B" w:rsidP="00B228BF">
      <w:pPr>
        <w:pStyle w:val="Caption"/>
        <w:spacing w:after="0"/>
        <w:ind w:right="-33"/>
      </w:pPr>
      <w:bookmarkStart w:id="2" w:name="_Ref69911492"/>
      <w:bookmarkStart w:id="3" w:name="_Ref70256597"/>
      <w:r w:rsidRPr="004A5435">
        <w:t xml:space="preserve">Table </w:t>
      </w:r>
      <w:bookmarkEnd w:id="2"/>
      <w:bookmarkEnd w:id="3"/>
      <w:r w:rsidRPr="004A5435">
        <w:t xml:space="preserve">S2. TEE findings in patients with negative and positive non-invasive ultrasound. </w:t>
      </w:r>
      <w:r w:rsidRPr="004A5435">
        <w:br/>
        <w:t xml:space="preserve">Abbreviations: PAVM, pulmonary arteriovenous malformation; PFO, patent foramen </w:t>
      </w:r>
      <w:proofErr w:type="spellStart"/>
      <w:r w:rsidRPr="004A5435">
        <w:t>ovale</w:t>
      </w:r>
      <w:proofErr w:type="spellEnd"/>
      <w:r w:rsidRPr="004A5435">
        <w:t>; LAA, left atrial appendage; TEE, transesophageal echocardiography; RLS, right-to-left-shunt</w:t>
      </w:r>
    </w:p>
    <w:p w14:paraId="787292D3" w14:textId="77777777" w:rsidR="00D7686B" w:rsidRPr="00D7686B" w:rsidRDefault="00D7686B" w:rsidP="00D7686B">
      <w:pPr>
        <w:pStyle w:val="NoSpacing"/>
      </w:pPr>
    </w:p>
    <w:p w14:paraId="77FB6F18" w14:textId="4220D8FA" w:rsidR="00D7686B" w:rsidRPr="000942A8" w:rsidRDefault="00D7686B" w:rsidP="00D7686B">
      <w:pPr>
        <w:pStyle w:val="Heading1"/>
      </w:pPr>
      <w:r>
        <w:lastRenderedPageBreak/>
        <w:t xml:space="preserve">Supplementary </w:t>
      </w:r>
      <w:r w:rsidRPr="000942A8">
        <w:t>References</w:t>
      </w:r>
    </w:p>
    <w:p w14:paraId="46CB623C" w14:textId="77777777" w:rsidR="00207915" w:rsidRPr="00207915" w:rsidRDefault="00D7686B" w:rsidP="00207915">
      <w:pPr>
        <w:pStyle w:val="EndNoteBibliography"/>
        <w:spacing w:after="0"/>
        <w:ind w:left="720" w:hanging="720"/>
        <w:rPr>
          <w:noProof/>
        </w:rPr>
      </w:pPr>
      <w:r w:rsidRPr="003077EA">
        <w:rPr>
          <w:rFonts w:cstheme="minorBidi"/>
          <w:sz w:val="24"/>
        </w:rPr>
        <w:fldChar w:fldCharType="begin"/>
      </w:r>
      <w:r w:rsidRPr="003077EA">
        <w:rPr>
          <w:sz w:val="24"/>
        </w:rPr>
        <w:instrText xml:space="preserve"> ADDIN EN.REFLIST </w:instrText>
      </w:r>
      <w:r w:rsidRPr="003077EA">
        <w:rPr>
          <w:rFonts w:cstheme="minorBidi"/>
          <w:sz w:val="24"/>
        </w:rPr>
        <w:fldChar w:fldCharType="separate"/>
      </w:r>
      <w:r w:rsidR="00207915" w:rsidRPr="00207915">
        <w:rPr>
          <w:noProof/>
        </w:rPr>
        <w:t>1.</w:t>
      </w:r>
      <w:r w:rsidR="00207915" w:rsidRPr="00207915">
        <w:rPr>
          <w:noProof/>
        </w:rPr>
        <w:tab/>
        <w:t xml:space="preserve">Jauss M, Zanette E. Detection of right-to-left shunt with ultrasound contrast agent and transcranial Doppler sonography. </w:t>
      </w:r>
      <w:r w:rsidR="00207915" w:rsidRPr="00207915">
        <w:rPr>
          <w:i/>
          <w:noProof/>
        </w:rPr>
        <w:t>Cerebrovasc Dis</w:t>
      </w:r>
      <w:r w:rsidR="00207915" w:rsidRPr="00207915">
        <w:rPr>
          <w:noProof/>
        </w:rPr>
        <w:t>. 2000;10:490-496. doi: 10.1159/000016119</w:t>
      </w:r>
    </w:p>
    <w:p w14:paraId="3E828210" w14:textId="77777777" w:rsidR="00207915" w:rsidRPr="00207915" w:rsidRDefault="00207915" w:rsidP="00207915">
      <w:pPr>
        <w:pStyle w:val="EndNoteBibliography"/>
        <w:spacing w:after="0"/>
        <w:ind w:left="720" w:hanging="720"/>
        <w:rPr>
          <w:noProof/>
        </w:rPr>
      </w:pPr>
      <w:r w:rsidRPr="00207915">
        <w:rPr>
          <w:noProof/>
        </w:rPr>
        <w:t>2.</w:t>
      </w:r>
      <w:r w:rsidRPr="00207915">
        <w:rPr>
          <w:noProof/>
        </w:rPr>
        <w:tab/>
        <w:t xml:space="preserve">Gentile M, De Vito A, Azzini C, Tamborino C, Casetta I. Adding blood to agitated saline significantly improves detection of right-to-left shunt by contrast-transcranial color-coded duplex sonography. </w:t>
      </w:r>
      <w:r w:rsidRPr="00207915">
        <w:rPr>
          <w:i/>
          <w:noProof/>
        </w:rPr>
        <w:t>Ultrasound Med Biol</w:t>
      </w:r>
      <w:r w:rsidRPr="00207915">
        <w:rPr>
          <w:noProof/>
        </w:rPr>
        <w:t>. 2014;40:2637-2641. doi: 10.1016/j.ultrasmedbio.2014.06.017</w:t>
      </w:r>
    </w:p>
    <w:p w14:paraId="18F370F7" w14:textId="77777777" w:rsidR="00207915" w:rsidRPr="00207915" w:rsidRDefault="00207915" w:rsidP="00207915">
      <w:pPr>
        <w:pStyle w:val="EndNoteBibliography"/>
        <w:spacing w:after="0"/>
        <w:ind w:left="720" w:hanging="720"/>
        <w:rPr>
          <w:noProof/>
        </w:rPr>
      </w:pPr>
      <w:r w:rsidRPr="00207915">
        <w:rPr>
          <w:noProof/>
        </w:rPr>
        <w:t>3.</w:t>
      </w:r>
      <w:r w:rsidRPr="00207915">
        <w:rPr>
          <w:noProof/>
        </w:rPr>
        <w:tab/>
        <w:t xml:space="preserve">Shariat A, Yaghoubi E, Nemati R, Aghasadeghi K, Borhani Haghighi A. Comparison of agitated saline mixed with blood to agitated saline alone in detecting right-to-left shunt during contrast- transcranial Doppler sonography examination. </w:t>
      </w:r>
      <w:r w:rsidRPr="00207915">
        <w:rPr>
          <w:i/>
          <w:noProof/>
        </w:rPr>
        <w:t>Acta Neurol Taiwan</w:t>
      </w:r>
      <w:r w:rsidRPr="00207915">
        <w:rPr>
          <w:noProof/>
        </w:rPr>
        <w:t xml:space="preserve">. 2011;20:182-187. doi: </w:t>
      </w:r>
    </w:p>
    <w:p w14:paraId="4557CA48" w14:textId="77777777" w:rsidR="00207915" w:rsidRPr="00207915" w:rsidRDefault="00207915" w:rsidP="00207915">
      <w:pPr>
        <w:pStyle w:val="EndNoteBibliography"/>
        <w:spacing w:after="0"/>
        <w:ind w:left="720" w:hanging="720"/>
        <w:rPr>
          <w:noProof/>
        </w:rPr>
      </w:pPr>
      <w:r w:rsidRPr="00207915">
        <w:rPr>
          <w:noProof/>
        </w:rPr>
        <w:t>4.</w:t>
      </w:r>
      <w:r w:rsidRPr="00207915">
        <w:rPr>
          <w:noProof/>
        </w:rPr>
        <w:tab/>
        <w:t xml:space="preserve">Tiecks FP, Lam AM, Matta BF, Strebel S, Douville C, Newell DW. Effects of the valsalva maneuver on cerebral circulation in healthy adults. A transcranial Doppler Study. </w:t>
      </w:r>
      <w:r w:rsidRPr="00207915">
        <w:rPr>
          <w:i/>
          <w:noProof/>
        </w:rPr>
        <w:t>Stroke</w:t>
      </w:r>
      <w:r w:rsidRPr="00207915">
        <w:rPr>
          <w:noProof/>
        </w:rPr>
        <w:t>. 1995;26:1386-1392. doi: 10.1161/01.str.26.8.1386</w:t>
      </w:r>
    </w:p>
    <w:p w14:paraId="758D9307" w14:textId="77777777" w:rsidR="00207915" w:rsidRPr="00207915" w:rsidRDefault="00207915" w:rsidP="00207915">
      <w:pPr>
        <w:pStyle w:val="EndNoteBibliography"/>
        <w:spacing w:after="0"/>
        <w:ind w:left="720" w:hanging="720"/>
        <w:rPr>
          <w:noProof/>
        </w:rPr>
      </w:pPr>
      <w:r w:rsidRPr="00207915">
        <w:rPr>
          <w:noProof/>
        </w:rPr>
        <w:t>5.</w:t>
      </w:r>
      <w:r w:rsidRPr="00207915">
        <w:rPr>
          <w:noProof/>
        </w:rPr>
        <w:tab/>
        <w:t xml:space="preserve">World Health Organization. Obesity: https://www.who.int/health-topics/obesity, Accessed 06/17/2021. WHO. 2021. </w:t>
      </w:r>
    </w:p>
    <w:p w14:paraId="016B12C7" w14:textId="77777777" w:rsidR="00207915" w:rsidRPr="00207915" w:rsidRDefault="00207915" w:rsidP="00207915">
      <w:pPr>
        <w:pStyle w:val="EndNoteBibliography"/>
        <w:spacing w:after="0"/>
        <w:ind w:left="720" w:hanging="720"/>
        <w:rPr>
          <w:noProof/>
        </w:rPr>
      </w:pPr>
      <w:r w:rsidRPr="00207915">
        <w:rPr>
          <w:noProof/>
        </w:rPr>
        <w:t>6.</w:t>
      </w:r>
      <w:r w:rsidRPr="00207915">
        <w:rPr>
          <w:noProof/>
        </w:rPr>
        <w:tab/>
        <w:t xml:space="preserve">American Diabetes Association. 2. Classification and Diagnosis of Diabetes: Standards of Medical Care in Diabetes-2020. </w:t>
      </w:r>
      <w:r w:rsidRPr="00207915">
        <w:rPr>
          <w:i/>
          <w:noProof/>
        </w:rPr>
        <w:t>Diabetes Care</w:t>
      </w:r>
      <w:r w:rsidRPr="00207915">
        <w:rPr>
          <w:noProof/>
        </w:rPr>
        <w:t>. 2020;43:S14-S31. doi: 10.2337/dc20-S002</w:t>
      </w:r>
    </w:p>
    <w:p w14:paraId="0ADF6FA8" w14:textId="77777777" w:rsidR="00207915" w:rsidRPr="00207915" w:rsidRDefault="00207915" w:rsidP="00207915">
      <w:pPr>
        <w:pStyle w:val="EndNoteBibliography"/>
        <w:ind w:left="720" w:hanging="720"/>
        <w:rPr>
          <w:noProof/>
        </w:rPr>
      </w:pPr>
      <w:r w:rsidRPr="00207915">
        <w:rPr>
          <w:noProof/>
        </w:rPr>
        <w:t>7.</w:t>
      </w:r>
      <w:r w:rsidRPr="00207915">
        <w:rPr>
          <w:noProof/>
        </w:rPr>
        <w:tab/>
        <w:t xml:space="preserve">National Cholesterol Education Program Expert Panel on Detection E, Treatment of High Blood Cholesterol in A. Third Report of the National Cholesterol Education Program (NCEP) Expert Panel on Detection, Evaluation, and Treatment of High Blood Cholesterol in Adults (Adult Treatment Panel III) final report. </w:t>
      </w:r>
      <w:r w:rsidRPr="00207915">
        <w:rPr>
          <w:i/>
          <w:noProof/>
        </w:rPr>
        <w:t>Circulation</w:t>
      </w:r>
      <w:r w:rsidRPr="00207915">
        <w:rPr>
          <w:noProof/>
        </w:rPr>
        <w:t xml:space="preserve">. 2002;106:3143-3421. doi: </w:t>
      </w:r>
    </w:p>
    <w:p w14:paraId="7B65BC41" w14:textId="2131B452" w:rsidR="00DE23E8" w:rsidRPr="001549D3" w:rsidRDefault="00D7686B" w:rsidP="00B228BF">
      <w:pPr>
        <w:pStyle w:val="Heading1"/>
        <w:numPr>
          <w:ilvl w:val="0"/>
          <w:numId w:val="0"/>
        </w:numPr>
        <w:ind w:left="567" w:hanging="567"/>
      </w:pPr>
      <w:r w:rsidRPr="003077EA">
        <w:fldChar w:fldCharType="end"/>
      </w:r>
    </w:p>
    <w:sectPr w:rsidR="00DE23E8" w:rsidRPr="001549D3" w:rsidSect="0093429D">
      <w:headerReference w:type="even" r:id="rId8"/>
      <w:footerReference w:type="even" r:id="rId9"/>
      <w:footerReference w:type="default" r:id="rId10"/>
      <w:headerReference w:type="first" r:id="rId11"/>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03AE8" w14:textId="77777777" w:rsidR="00B51E7B" w:rsidRDefault="00B51E7B" w:rsidP="00117666">
      <w:pPr>
        <w:spacing w:after="0"/>
      </w:pPr>
      <w:r>
        <w:separator/>
      </w:r>
    </w:p>
  </w:endnote>
  <w:endnote w:type="continuationSeparator" w:id="0">
    <w:p w14:paraId="5631372C" w14:textId="77777777" w:rsidR="00B51E7B" w:rsidRDefault="00B51E7B"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3025F" w14:textId="77777777" w:rsidR="00995F6A"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" filled="f" stroked="f" strokeweight=".5pt">
              <v:textbox style="mso-fit-shape-to-text:t">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D6A35" w14:textId="77777777" w:rsidR="00995F6A"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" filled="f" stroked="f" strokeweight=".5pt">
              <v:textbox style="mso-fit-shape-to-text:t">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314FB" w14:textId="77777777" w:rsidR="00B51E7B" w:rsidRDefault="00B51E7B" w:rsidP="00117666">
      <w:pPr>
        <w:spacing w:after="0"/>
      </w:pPr>
      <w:r>
        <w:separator/>
      </w:r>
    </w:p>
  </w:footnote>
  <w:footnote w:type="continuationSeparator" w:id="0">
    <w:p w14:paraId="77843A29" w14:textId="77777777" w:rsidR="00B51E7B" w:rsidRDefault="00B51E7B"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F00C"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D68C6" w14:textId="77777777" w:rsidR="00995F6A" w:rsidRDefault="0093429D" w:rsidP="0093429D">
    <w:r w:rsidRPr="005A1D84">
      <w:rPr>
        <w:b/>
        <w:noProof/>
        <w:color w:val="A6A6A6" w:themeColor="background1" w:themeShade="A6"/>
        <w:lang w:val="en-GB" w:eastAsia="en-GB"/>
      </w:rPr>
      <w:drawing>
        <wp:inline distT="0" distB="0" distL="0" distR="0" wp14:anchorId="07D26A56" wp14:editId="2E460F0E">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Stroke&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pvr0s2puf55w1esr085txs8z59zzf92wr0e&quot;&gt;PFO-Converted&lt;record-ids&gt;&lt;item&gt;49&lt;/item&gt;&lt;item&gt;50&lt;/item&gt;&lt;item&gt;51&lt;/item&gt;&lt;item&gt;52&lt;/item&gt;&lt;item&gt;66&lt;/item&gt;&lt;item&gt;67&lt;/item&gt;&lt;item&gt;68&lt;/item&gt;&lt;/record-ids&gt;&lt;/item&gt;&lt;/Libraries&gt;"/>
  </w:docVars>
  <w:rsids>
    <w:rsidRoot w:val="00ED20B5"/>
    <w:rsid w:val="0001436A"/>
    <w:rsid w:val="00034304"/>
    <w:rsid w:val="00035434"/>
    <w:rsid w:val="00052A14"/>
    <w:rsid w:val="00077D53"/>
    <w:rsid w:val="00105FD9"/>
    <w:rsid w:val="00117666"/>
    <w:rsid w:val="001549D3"/>
    <w:rsid w:val="00160065"/>
    <w:rsid w:val="00177D84"/>
    <w:rsid w:val="00207915"/>
    <w:rsid w:val="00267D18"/>
    <w:rsid w:val="00274347"/>
    <w:rsid w:val="002868E2"/>
    <w:rsid w:val="002869C3"/>
    <w:rsid w:val="002936E4"/>
    <w:rsid w:val="002B4A57"/>
    <w:rsid w:val="002C74CA"/>
    <w:rsid w:val="003123F4"/>
    <w:rsid w:val="003544FB"/>
    <w:rsid w:val="003D2F2D"/>
    <w:rsid w:val="00401590"/>
    <w:rsid w:val="00447801"/>
    <w:rsid w:val="00452E9C"/>
    <w:rsid w:val="004735C8"/>
    <w:rsid w:val="004947A6"/>
    <w:rsid w:val="004961FF"/>
    <w:rsid w:val="00517A89"/>
    <w:rsid w:val="005250F2"/>
    <w:rsid w:val="00593EEA"/>
    <w:rsid w:val="005A5EEE"/>
    <w:rsid w:val="006375C7"/>
    <w:rsid w:val="00654E8F"/>
    <w:rsid w:val="00660D05"/>
    <w:rsid w:val="006820B1"/>
    <w:rsid w:val="006B7D14"/>
    <w:rsid w:val="00701727"/>
    <w:rsid w:val="0070566C"/>
    <w:rsid w:val="00714C50"/>
    <w:rsid w:val="00725A7D"/>
    <w:rsid w:val="007501BE"/>
    <w:rsid w:val="0075435A"/>
    <w:rsid w:val="00790BB3"/>
    <w:rsid w:val="007C206C"/>
    <w:rsid w:val="00817DD6"/>
    <w:rsid w:val="0083759F"/>
    <w:rsid w:val="00885156"/>
    <w:rsid w:val="009151AA"/>
    <w:rsid w:val="0093429D"/>
    <w:rsid w:val="00943573"/>
    <w:rsid w:val="00964134"/>
    <w:rsid w:val="00970F7D"/>
    <w:rsid w:val="00994A3D"/>
    <w:rsid w:val="009C2B12"/>
    <w:rsid w:val="00A174D9"/>
    <w:rsid w:val="00A82D21"/>
    <w:rsid w:val="00AA4D24"/>
    <w:rsid w:val="00AB6715"/>
    <w:rsid w:val="00B1671E"/>
    <w:rsid w:val="00B228BF"/>
    <w:rsid w:val="00B25EB8"/>
    <w:rsid w:val="00B37F4D"/>
    <w:rsid w:val="00B51E7B"/>
    <w:rsid w:val="00C52A7B"/>
    <w:rsid w:val="00C56BAF"/>
    <w:rsid w:val="00C679AA"/>
    <w:rsid w:val="00C75972"/>
    <w:rsid w:val="00CD066B"/>
    <w:rsid w:val="00CE4FEE"/>
    <w:rsid w:val="00D05FC6"/>
    <w:rsid w:val="00D060CF"/>
    <w:rsid w:val="00D7686B"/>
    <w:rsid w:val="00DB59C3"/>
    <w:rsid w:val="00DC259A"/>
    <w:rsid w:val="00DE23E8"/>
    <w:rsid w:val="00E52377"/>
    <w:rsid w:val="00E537AD"/>
    <w:rsid w:val="00E64E17"/>
    <w:rsid w:val="00E866C9"/>
    <w:rsid w:val="00EA3D3C"/>
    <w:rsid w:val="00EC090A"/>
    <w:rsid w:val="00ED20B5"/>
    <w:rsid w:val="00EF4633"/>
    <w:rsid w:val="00F13523"/>
    <w:rsid w:val="00F46900"/>
    <w:rsid w:val="00F61D89"/>
    <w:rsid w:val="00F8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DB94A"/>
  <w15:docId w15:val="{88748FF8-5D22-488D-A39B-60AD9369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3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link w:val="SupplementaryMaterialChar"/>
    <w:qFormat/>
    <w:rsid w:val="0001436A"/>
    <w:pPr>
      <w:spacing w:after="120"/>
    </w:pPr>
    <w:rPr>
      <w:i/>
    </w:rPr>
  </w:style>
  <w:style w:type="paragraph" w:customStyle="1" w:styleId="EndNoteBibliography">
    <w:name w:val="EndNote Bibliography"/>
    <w:basedOn w:val="Normal"/>
    <w:link w:val="EndNoteBibliographyChar"/>
    <w:rsid w:val="00D7686B"/>
    <w:pPr>
      <w:spacing w:before="0"/>
    </w:pPr>
    <w:rPr>
      <w:rFonts w:cs="Times New Roman"/>
      <w:sz w:val="22"/>
      <w:szCs w:val="24"/>
    </w:rPr>
  </w:style>
  <w:style w:type="character" w:customStyle="1" w:styleId="EndNoteBibliographyChar">
    <w:name w:val="EndNote Bibliography Char"/>
    <w:basedOn w:val="DefaultParagraphFont"/>
    <w:link w:val="EndNoteBibliography"/>
    <w:rsid w:val="00D7686B"/>
    <w:rPr>
      <w:rFonts w:ascii="Times New Roman" w:hAnsi="Times New Roman" w:cs="Times New Roman"/>
      <w:szCs w:val="24"/>
    </w:rPr>
  </w:style>
  <w:style w:type="paragraph" w:styleId="Revision">
    <w:name w:val="Revision"/>
    <w:hidden/>
    <w:uiPriority w:val="99"/>
    <w:semiHidden/>
    <w:rsid w:val="00EF4633"/>
    <w:pPr>
      <w:spacing w:after="0" w:line="240" w:lineRule="auto"/>
    </w:pPr>
    <w:rPr>
      <w:rFonts w:ascii="Times New Roman" w:hAnsi="Times New Roman"/>
      <w:sz w:val="24"/>
    </w:rPr>
  </w:style>
  <w:style w:type="paragraph" w:customStyle="1" w:styleId="EndNoteBibliographyTitle">
    <w:name w:val="EndNote Bibliography Title"/>
    <w:basedOn w:val="Normal"/>
    <w:link w:val="EndNoteBibliographyTitleChar"/>
    <w:rsid w:val="00207915"/>
    <w:pPr>
      <w:spacing w:after="0"/>
      <w:jc w:val="center"/>
    </w:pPr>
    <w:rPr>
      <w:rFonts w:cs="Times New Roman"/>
      <w:sz w:val="22"/>
    </w:rPr>
  </w:style>
  <w:style w:type="character" w:customStyle="1" w:styleId="SupplementaryMaterialChar">
    <w:name w:val="Supplementary Material Char"/>
    <w:basedOn w:val="TitleChar"/>
    <w:link w:val="SupplementaryMaterial"/>
    <w:rsid w:val="00207915"/>
    <w:rPr>
      <w:rFonts w:ascii="Times New Roman" w:hAnsi="Times New Roman" w:cs="Times New Roman"/>
      <w:b/>
      <w:i/>
      <w:sz w:val="32"/>
      <w:szCs w:val="32"/>
    </w:rPr>
  </w:style>
  <w:style w:type="character" w:customStyle="1" w:styleId="EndNoteBibliographyTitleChar">
    <w:name w:val="EndNote Bibliography Title Char"/>
    <w:basedOn w:val="SupplementaryMaterialChar"/>
    <w:link w:val="EndNoteBibliographyTitle"/>
    <w:rsid w:val="00207915"/>
    <w:rPr>
      <w:rFonts w:ascii="Times New Roman" w:hAnsi="Times New Roman" w:cs="Times New Roman"/>
      <w:b w:val="0"/>
      <w:i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7A95B22-B4E8-4C8E-ABCB-1E2B9143F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C:\Users\joshua.stocco\Documents\Templates\Frontiers_Word_Templates\Supplementary_Material.dotx</Template>
  <TotalTime>5</TotalTime>
  <Pages>5</Pages>
  <Words>2454</Words>
  <Characters>13988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Mayerhofer, Ernst</cp:lastModifiedBy>
  <cp:revision>9</cp:revision>
  <cp:lastPrinted>2013-10-03T12:51:00Z</cp:lastPrinted>
  <dcterms:created xsi:type="dcterms:W3CDTF">2018-11-23T08:58:00Z</dcterms:created>
  <dcterms:modified xsi:type="dcterms:W3CDTF">2022-02-04T12:52:00Z</dcterms:modified>
</cp:coreProperties>
</file>