
<file path=[Content_Types].xml><?xml version="1.0" encoding="utf-8"?>
<Types xmlns="http://schemas.openxmlformats.org/package/2006/content-types">
  <Default Extension="rels" ContentType="application/vnd.openxmlformats-package.relationships+xml"/>
  <Default Extension="xml" ContentType="application/xml"/>
  <Default Extension="tiff" ContentType="image/tif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6F482927" w14:textId="77777777" w:rsidR="008111E1" w:rsidRDefault="008111E1" w:rsidP="008111E1">
      <w:pPr>
        <w:widowControl w:val="0"/>
        <w:autoSpaceDE w:val="0"/>
        <w:autoSpaceDN w:val="0"/>
        <w:adjustRightInd w:val="0"/>
        <w:ind w:left="640" w:hanging="640"/>
        <w:rPr>
          <w:rFonts w:cstheme="minorHAnsi"/>
          <w:b/>
          <w:sz w:val="32"/>
        </w:rPr>
      </w:pPr>
      <w:r>
        <w:rPr>
          <w:rFonts w:cstheme="minorHAnsi"/>
          <w:b/>
          <w:sz w:val="32"/>
        </w:rPr>
        <w:t>Supplementary information</w:t>
      </w:r>
    </w:p>
    <w:p w14:paraId="3E5FB5F4" w14:textId="77777777" w:rsidR="008111E1" w:rsidRPr="00E0203C" w:rsidRDefault="008111E1" w:rsidP="008111E1">
      <w:pPr>
        <w:widowControl w:val="0"/>
        <w:autoSpaceDE w:val="0"/>
        <w:autoSpaceDN w:val="0"/>
        <w:adjustRightInd w:val="0"/>
        <w:ind w:left="640" w:hanging="640"/>
        <w:rPr>
          <w:rFonts w:cstheme="minorHAnsi"/>
          <w:b/>
        </w:rPr>
      </w:pPr>
    </w:p>
    <w:p w14:paraId="78D423FC" w14:textId="77777777" w:rsidR="008111E1" w:rsidRDefault="008111E1" w:rsidP="008111E1">
      <w:pPr>
        <w:widowControl w:val="0"/>
        <w:autoSpaceDE w:val="0"/>
        <w:autoSpaceDN w:val="0"/>
        <w:adjustRightInd w:val="0"/>
        <w:ind w:left="640" w:hanging="640"/>
        <w:rPr>
          <w:rFonts w:cstheme="minorHAnsi"/>
          <w:b/>
          <w:sz w:val="28"/>
        </w:rPr>
      </w:pPr>
      <w:r w:rsidRPr="00E0203C">
        <w:rPr>
          <w:rFonts w:cstheme="minorHAnsi"/>
          <w:b/>
        </w:rPr>
        <w:t>Schematic design for Dynamic phantom</w:t>
      </w:r>
    </w:p>
    <w:p w14:paraId="7D756C49" w14:textId="77777777" w:rsidR="008111E1" w:rsidRDefault="008111E1" w:rsidP="008111E1">
      <w:pPr>
        <w:keepNext/>
        <w:widowControl w:val="0"/>
        <w:autoSpaceDE w:val="0"/>
        <w:autoSpaceDN w:val="0"/>
        <w:adjustRightInd w:val="0"/>
        <w:ind w:left="640" w:hanging="640"/>
      </w:pPr>
      <w:r>
        <w:rPr>
          <w:rFonts w:cstheme="minorHAnsi"/>
          <w:b/>
          <w:noProof/>
          <w:sz w:val="28"/>
          <w:lang w:val="de-DE" w:eastAsia="de-DE"/>
        </w:rPr>
        <w:drawing>
          <wp:inline distT="0" distB="0" distL="0" distR="0" wp14:anchorId="6DD778DD" wp14:editId="7E44B330">
            <wp:extent cx="5727700" cy="4048125"/>
            <wp:effectExtent l="0" t="0" r="0" b="317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StructuralDrawing.tiff"/>
                    <pic:cNvPicPr/>
                  </pic:nvPicPr>
                  <pic:blipFill>
                    <a:blip r:embed="rId4" cstate="print">
                      <a:extLst>
                        <a:ext uri="{28A0092B-C50C-407E-A947-70E740481C1C}">
                          <a14:useLocalDpi xmlns:a14="http://schemas.microsoft.com/office/drawing/2010/main" val="0"/>
                        </a:ext>
                      </a:extLst>
                    </a:blip>
                    <a:stretch>
                      <a:fillRect/>
                    </a:stretch>
                  </pic:blipFill>
                  <pic:spPr>
                    <a:xfrm>
                      <a:off x="0" y="0"/>
                      <a:ext cx="5727700" cy="4048125"/>
                    </a:xfrm>
                    <a:prstGeom prst="rect">
                      <a:avLst/>
                    </a:prstGeom>
                  </pic:spPr>
                </pic:pic>
              </a:graphicData>
            </a:graphic>
          </wp:inline>
        </w:drawing>
      </w:r>
    </w:p>
    <w:p w14:paraId="1CC82289" w14:textId="77777777" w:rsidR="008111E1" w:rsidRDefault="008111E1" w:rsidP="008111E1">
      <w:pPr>
        <w:pStyle w:val="Caption"/>
        <w:rPr>
          <w:rFonts w:cstheme="minorHAnsi"/>
          <w:b/>
          <w:sz w:val="28"/>
        </w:rPr>
      </w:pPr>
      <w:r>
        <w:t xml:space="preserve">Figure S </w:t>
      </w:r>
      <w:r>
        <w:fldChar w:fldCharType="begin"/>
      </w:r>
      <w:r>
        <w:instrText xml:space="preserve"> SEQ Figure_S \* ARABIC </w:instrText>
      </w:r>
      <w:r>
        <w:fldChar w:fldCharType="separate"/>
      </w:r>
      <w:r>
        <w:rPr>
          <w:noProof/>
        </w:rPr>
        <w:t>1</w:t>
      </w:r>
      <w:r>
        <w:rPr>
          <w:noProof/>
        </w:rPr>
        <w:fldChar w:fldCharType="end"/>
      </w:r>
      <w:r>
        <w:t xml:space="preserve"> - Schematic indicating the exact dimensions of the components within the dynamic phantom</w:t>
      </w:r>
    </w:p>
    <w:p w14:paraId="44E1988B" w14:textId="77777777" w:rsidR="008111E1" w:rsidRPr="00294688" w:rsidRDefault="008111E1" w:rsidP="008111E1">
      <w:pPr>
        <w:widowControl w:val="0"/>
        <w:autoSpaceDE w:val="0"/>
        <w:autoSpaceDN w:val="0"/>
        <w:adjustRightInd w:val="0"/>
        <w:rPr>
          <w:rFonts w:cstheme="minorHAnsi"/>
          <w:b/>
          <w:sz w:val="28"/>
        </w:rPr>
      </w:pPr>
    </w:p>
    <w:p w14:paraId="1DA5DDDF" w14:textId="77777777" w:rsidR="008111E1" w:rsidRPr="00294688" w:rsidRDefault="008111E1" w:rsidP="008111E1">
      <w:pPr>
        <w:widowControl w:val="0"/>
        <w:autoSpaceDE w:val="0"/>
        <w:autoSpaceDN w:val="0"/>
        <w:adjustRightInd w:val="0"/>
        <w:ind w:left="640" w:hanging="640"/>
        <w:rPr>
          <w:rFonts w:cstheme="minorHAnsi"/>
          <w:b/>
        </w:rPr>
      </w:pPr>
      <w:r w:rsidRPr="00294688">
        <w:rPr>
          <w:rFonts w:cstheme="minorHAnsi"/>
          <w:b/>
        </w:rPr>
        <w:t>Analysis methods</w:t>
      </w:r>
    </w:p>
    <w:p w14:paraId="7F3D7186" w14:textId="77777777" w:rsidR="008111E1" w:rsidRDefault="008111E1" w:rsidP="008111E1">
      <w:pPr>
        <w:keepNext/>
        <w:widowControl w:val="0"/>
        <w:autoSpaceDE w:val="0"/>
        <w:autoSpaceDN w:val="0"/>
        <w:adjustRightInd w:val="0"/>
      </w:pPr>
      <w:r>
        <w:rPr>
          <w:noProof/>
          <w:lang w:val="de-DE" w:eastAsia="de-DE"/>
        </w:rPr>
        <w:drawing>
          <wp:inline distT="0" distB="0" distL="0" distR="0" wp14:anchorId="2C9B30D9" wp14:editId="58ADCAC6">
            <wp:extent cx="5727700" cy="2270760"/>
            <wp:effectExtent l="0" t="0" r="0" b="254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SI_fig_1.tiff"/>
                    <pic:cNvPicPr/>
                  </pic:nvPicPr>
                  <pic:blipFill>
                    <a:blip r:embed="rId5" cstate="print">
                      <a:extLst>
                        <a:ext uri="{28A0092B-C50C-407E-A947-70E740481C1C}">
                          <a14:useLocalDpi xmlns:a14="http://schemas.microsoft.com/office/drawing/2010/main" val="0"/>
                        </a:ext>
                      </a:extLst>
                    </a:blip>
                    <a:stretch>
                      <a:fillRect/>
                    </a:stretch>
                  </pic:blipFill>
                  <pic:spPr>
                    <a:xfrm>
                      <a:off x="0" y="0"/>
                      <a:ext cx="5727700" cy="2270760"/>
                    </a:xfrm>
                    <a:prstGeom prst="rect">
                      <a:avLst/>
                    </a:prstGeom>
                  </pic:spPr>
                </pic:pic>
              </a:graphicData>
            </a:graphic>
          </wp:inline>
        </w:drawing>
      </w:r>
    </w:p>
    <w:p w14:paraId="733926C0" w14:textId="77777777" w:rsidR="008111E1" w:rsidRDefault="008111E1" w:rsidP="008111E1">
      <w:pPr>
        <w:pStyle w:val="Caption"/>
        <w:jc w:val="both"/>
      </w:pPr>
      <w:r>
        <w:t xml:space="preserve">Figure S </w:t>
      </w:r>
      <w:r>
        <w:fldChar w:fldCharType="begin"/>
      </w:r>
      <w:r>
        <w:instrText xml:space="preserve"> SEQ Figure_S \* ARABIC </w:instrText>
      </w:r>
      <w:r>
        <w:fldChar w:fldCharType="separate"/>
      </w:r>
      <w:r>
        <w:rPr>
          <w:noProof/>
        </w:rPr>
        <w:t>2</w:t>
      </w:r>
      <w:r>
        <w:rPr>
          <w:noProof/>
        </w:rPr>
        <w:fldChar w:fldCharType="end"/>
      </w:r>
      <w:r>
        <w:t xml:space="preserve"> - a) Chemical reactions that [1-</w:t>
      </w:r>
      <w:r w:rsidRPr="00F104BB">
        <w:rPr>
          <w:vertAlign w:val="superscript"/>
        </w:rPr>
        <w:t>13</w:t>
      </w:r>
      <w:r>
        <w:t xml:space="preserve">C] pyruvate undergoes in this series of experiments. Pyruvate hydrate and pyruvate are in a pH-dependent equilibrium, whilst pyruvate is then enzymatically converted into lactate via lactate dehydrogenase. Importantly, the rate of lactate generation is several orders of magnitude greater than the production of pyruvate hydrate. The consumption of pyruvate induces an equilibrium imbalance resulting in the formation of pyruvate from pyruvate hydrate. b) The differential equations for the enzymatic conversion of pyruvate to lactate, which describe the forward (top) and reverse (bottom) reactions respectively in terms of rate constants </w:t>
      </w:r>
      <w:proofErr w:type="spellStart"/>
      <w:r>
        <w:t>k</w:t>
      </w:r>
      <w:r w:rsidRPr="005F5C66">
        <w:rPr>
          <w:vertAlign w:val="subscript"/>
        </w:rPr>
        <w:t>P</w:t>
      </w:r>
      <w:proofErr w:type="spellEnd"/>
      <w:r>
        <w:t xml:space="preserve"> (forward) and </w:t>
      </w:r>
      <w:proofErr w:type="spellStart"/>
      <w:r>
        <w:t>k</w:t>
      </w:r>
      <w:r w:rsidRPr="005F5C66">
        <w:rPr>
          <w:vertAlign w:val="subscript"/>
        </w:rPr>
        <w:t>L</w:t>
      </w:r>
      <w:proofErr w:type="spellEnd"/>
      <w:r>
        <w:t xml:space="preserve"> (reverse). c) These equations were adapted to eliminate the reverse reaction in the fitting process by assuming </w:t>
      </w:r>
      <w:proofErr w:type="spellStart"/>
      <w:r>
        <w:t>k</w:t>
      </w:r>
      <w:r w:rsidRPr="00D57895">
        <w:rPr>
          <w:vertAlign w:val="subscript"/>
        </w:rPr>
        <w:t>L</w:t>
      </w:r>
      <w:proofErr w:type="spellEnd"/>
      <w:r>
        <w:t xml:space="preserve"> = 0, producing a one-directional kinetic model from which </w:t>
      </w:r>
      <w:proofErr w:type="spellStart"/>
      <w:r>
        <w:t>k</w:t>
      </w:r>
      <w:r w:rsidRPr="00D57895">
        <w:rPr>
          <w:vertAlign w:val="subscript"/>
        </w:rPr>
        <w:t>P</w:t>
      </w:r>
      <w:proofErr w:type="spellEnd"/>
      <w:r>
        <w:t xml:space="preserve"> and the T</w:t>
      </w:r>
      <w:r w:rsidRPr="00D57895">
        <w:rPr>
          <w:vertAlign w:val="subscript"/>
        </w:rPr>
        <w:t>1</w:t>
      </w:r>
      <w:r>
        <w:t xml:space="preserve"> of pyruvate were calculated. d) The graphical methods used for the analysis of the metabolite signal time curves </w:t>
      </w:r>
      <w:r>
        <w:lastRenderedPageBreak/>
        <w:t>in this study. The ratio of the lactate to pyruvate signals when lactate is at a maximum was calculated. The second graphical metric involved deriving the ratio of the area un the curve ratio of lactate to pyruvate.</w:t>
      </w:r>
    </w:p>
    <w:p w14:paraId="7290845D" w14:textId="77777777" w:rsidR="008111E1" w:rsidRPr="00294688" w:rsidRDefault="008111E1" w:rsidP="008111E1">
      <w:pPr>
        <w:widowControl w:val="0"/>
        <w:autoSpaceDE w:val="0"/>
        <w:autoSpaceDN w:val="0"/>
        <w:adjustRightInd w:val="0"/>
        <w:ind w:left="640" w:hanging="640"/>
        <w:rPr>
          <w:rFonts w:cstheme="minorHAnsi"/>
          <w:b/>
        </w:rPr>
      </w:pPr>
      <w:r w:rsidRPr="00294688">
        <w:rPr>
          <w:rFonts w:cstheme="minorHAnsi"/>
          <w:b/>
        </w:rPr>
        <w:t>Metabolite signal time courses</w:t>
      </w:r>
    </w:p>
    <w:p w14:paraId="2D32E44A" w14:textId="77777777" w:rsidR="008111E1" w:rsidRDefault="008111E1" w:rsidP="008111E1">
      <w:pPr>
        <w:keepNext/>
        <w:widowControl w:val="0"/>
        <w:autoSpaceDE w:val="0"/>
        <w:autoSpaceDN w:val="0"/>
        <w:adjustRightInd w:val="0"/>
        <w:ind w:left="640" w:hanging="640"/>
        <w:jc w:val="center"/>
      </w:pPr>
      <w:r>
        <w:rPr>
          <w:rFonts w:cstheme="minorHAnsi"/>
          <w:b/>
          <w:noProof/>
          <w:sz w:val="32"/>
          <w:lang w:val="de-DE" w:eastAsia="de-DE"/>
        </w:rPr>
        <w:drawing>
          <wp:inline distT="0" distB="0" distL="0" distR="0" wp14:anchorId="1E48F4E2" wp14:editId="6FE74B9B">
            <wp:extent cx="5316070" cy="3931163"/>
            <wp:effectExtent l="0" t="0" r="5715" b="635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SI_fig_3.tif"/>
                    <pic:cNvPicPr/>
                  </pic:nvPicPr>
                  <pic:blipFill rotWithShape="1">
                    <a:blip r:embed="rId6" cstate="print">
                      <a:extLst>
                        <a:ext uri="{28A0092B-C50C-407E-A947-70E740481C1C}">
                          <a14:useLocalDpi xmlns:a14="http://schemas.microsoft.com/office/drawing/2010/main" val="0"/>
                        </a:ext>
                      </a:extLst>
                    </a:blip>
                    <a:srcRect l="8922" t="2745" r="8596" b="1"/>
                    <a:stretch/>
                  </pic:blipFill>
                  <pic:spPr bwMode="auto">
                    <a:xfrm>
                      <a:off x="0" y="0"/>
                      <a:ext cx="5328794" cy="3940572"/>
                    </a:xfrm>
                    <a:prstGeom prst="rect">
                      <a:avLst/>
                    </a:prstGeom>
                    <a:ln>
                      <a:noFill/>
                    </a:ln>
                    <a:extLst>
                      <a:ext uri="{53640926-AAD7-44D8-BBD7-CCE9431645EC}">
                        <a14:shadowObscured xmlns:a14="http://schemas.microsoft.com/office/drawing/2010/main"/>
                      </a:ext>
                    </a:extLst>
                  </pic:spPr>
                </pic:pic>
              </a:graphicData>
            </a:graphic>
          </wp:inline>
        </w:drawing>
      </w:r>
    </w:p>
    <w:p w14:paraId="146CB225" w14:textId="77777777" w:rsidR="008111E1" w:rsidRDefault="008111E1" w:rsidP="008111E1">
      <w:pPr>
        <w:pStyle w:val="Caption"/>
        <w:jc w:val="both"/>
      </w:pPr>
    </w:p>
    <w:p w14:paraId="28FADEF4" w14:textId="77777777" w:rsidR="008111E1" w:rsidRDefault="008111E1" w:rsidP="008111E1">
      <w:pPr>
        <w:pStyle w:val="Caption"/>
        <w:jc w:val="both"/>
        <w:rPr>
          <w:rFonts w:cstheme="minorHAnsi"/>
          <w:b/>
          <w:sz w:val="32"/>
        </w:rPr>
      </w:pPr>
      <w:r>
        <w:t xml:space="preserve">Figure S </w:t>
      </w:r>
      <w:r>
        <w:fldChar w:fldCharType="begin"/>
      </w:r>
      <w:r>
        <w:instrText xml:space="preserve"> SEQ Figure_S \* ARABIC </w:instrText>
      </w:r>
      <w:r>
        <w:fldChar w:fldCharType="separate"/>
      </w:r>
      <w:r>
        <w:rPr>
          <w:noProof/>
        </w:rPr>
        <w:t>3</w:t>
      </w:r>
      <w:r>
        <w:rPr>
          <w:noProof/>
        </w:rPr>
        <w:fldChar w:fldCharType="end"/>
      </w:r>
      <w:r>
        <w:t xml:space="preserve"> – The change in [1-</w:t>
      </w:r>
      <w:r w:rsidRPr="00DB047D">
        <w:rPr>
          <w:vertAlign w:val="superscript"/>
        </w:rPr>
        <w:t>13</w:t>
      </w:r>
      <w:r>
        <w:t>C] lactate (blue) and [1-</w:t>
      </w:r>
      <w:r w:rsidRPr="00DB047D">
        <w:rPr>
          <w:vertAlign w:val="superscript"/>
        </w:rPr>
        <w:t>13</w:t>
      </w:r>
      <w:r>
        <w:t>C] pyruvate (red) signals within the dynamic phantom up to 2m30s after the start of injection of 4ml hyperpolarised [1-</w:t>
      </w:r>
      <w:r w:rsidRPr="00DB047D">
        <w:rPr>
          <w:vertAlign w:val="superscript"/>
        </w:rPr>
        <w:t>13</w:t>
      </w:r>
      <w:r>
        <w:t>C] pyruvate. Time curves are shown for all eight runs in the reproducibility study. These time curves were used to produce the analyses below.</w:t>
      </w:r>
    </w:p>
    <w:p w14:paraId="3B48023E" w14:textId="77777777" w:rsidR="008111E1" w:rsidRDefault="008111E1" w:rsidP="008111E1">
      <w:pPr>
        <w:widowControl w:val="0"/>
        <w:autoSpaceDE w:val="0"/>
        <w:autoSpaceDN w:val="0"/>
        <w:adjustRightInd w:val="0"/>
        <w:ind w:left="640" w:hanging="640"/>
        <w:rPr>
          <w:rFonts w:cstheme="minorHAnsi"/>
          <w:b/>
          <w:sz w:val="32"/>
        </w:rPr>
      </w:pPr>
    </w:p>
    <w:tbl>
      <w:tblPr>
        <w:tblStyle w:val="TableGrid"/>
        <w:tblW w:w="8262"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52"/>
        <w:gridCol w:w="1652"/>
        <w:gridCol w:w="1653"/>
        <w:gridCol w:w="1652"/>
        <w:gridCol w:w="1653"/>
      </w:tblGrid>
      <w:tr w:rsidR="008111E1" w:rsidRPr="00BE76D0" w14:paraId="6E4B6827" w14:textId="77777777" w:rsidTr="00E72CEA">
        <w:trPr>
          <w:trHeight w:val="359"/>
          <w:jc w:val="center"/>
        </w:trPr>
        <w:tc>
          <w:tcPr>
            <w:tcW w:w="1652" w:type="dxa"/>
            <w:vMerge w:val="restart"/>
            <w:noWrap/>
            <w:vAlign w:val="center"/>
          </w:tcPr>
          <w:p w14:paraId="548AE8ED" w14:textId="77777777" w:rsidR="008111E1" w:rsidRPr="00437C21" w:rsidRDefault="008111E1" w:rsidP="00E72CEA">
            <w:pPr>
              <w:jc w:val="center"/>
              <w:rPr>
                <w:rFonts w:ascii="Calibri" w:hAnsi="Calibri" w:cs="Calibri"/>
                <w:b/>
                <w:color w:val="000000"/>
              </w:rPr>
            </w:pPr>
            <w:r>
              <w:rPr>
                <w:rFonts w:ascii="Calibri" w:hAnsi="Calibri" w:cs="Calibri"/>
                <w:b/>
                <w:color w:val="000000"/>
              </w:rPr>
              <w:t>Experiment</w:t>
            </w:r>
            <w:r w:rsidRPr="00437C21">
              <w:rPr>
                <w:rFonts w:ascii="Calibri" w:hAnsi="Calibri" w:cs="Calibri"/>
                <w:b/>
                <w:color w:val="000000"/>
              </w:rPr>
              <w:t xml:space="preserve"> no.</w:t>
            </w:r>
          </w:p>
        </w:tc>
        <w:tc>
          <w:tcPr>
            <w:tcW w:w="3305" w:type="dxa"/>
            <w:gridSpan w:val="2"/>
            <w:noWrap/>
            <w:vAlign w:val="center"/>
          </w:tcPr>
          <w:p w14:paraId="7016B538" w14:textId="77777777" w:rsidR="008111E1" w:rsidRPr="00437C21" w:rsidRDefault="008111E1" w:rsidP="00E72CEA">
            <w:pPr>
              <w:jc w:val="center"/>
              <w:rPr>
                <w:rFonts w:ascii="Calibri" w:hAnsi="Calibri" w:cs="Calibri"/>
                <w:b/>
                <w:color w:val="000000"/>
              </w:rPr>
            </w:pPr>
            <w:r w:rsidRPr="00437C21">
              <w:rPr>
                <w:rFonts w:ascii="Calibri" w:hAnsi="Calibri" w:cs="Calibri"/>
                <w:b/>
                <w:color w:val="000000"/>
              </w:rPr>
              <w:t>Graphical methods</w:t>
            </w:r>
          </w:p>
        </w:tc>
        <w:tc>
          <w:tcPr>
            <w:tcW w:w="3305" w:type="dxa"/>
            <w:gridSpan w:val="2"/>
            <w:noWrap/>
            <w:vAlign w:val="center"/>
          </w:tcPr>
          <w:p w14:paraId="32331F7A" w14:textId="77777777" w:rsidR="008111E1" w:rsidRPr="00437C21" w:rsidRDefault="008111E1" w:rsidP="00E72CEA">
            <w:pPr>
              <w:jc w:val="center"/>
              <w:rPr>
                <w:rFonts w:ascii="Calibri" w:hAnsi="Calibri" w:cs="Calibri"/>
                <w:b/>
                <w:color w:val="000000"/>
              </w:rPr>
            </w:pPr>
            <w:r w:rsidRPr="00437C21">
              <w:rPr>
                <w:rFonts w:ascii="Calibri" w:hAnsi="Calibri" w:cs="Calibri"/>
                <w:b/>
                <w:color w:val="000000"/>
              </w:rPr>
              <w:t xml:space="preserve">One-way kinetic model </w:t>
            </w:r>
            <w:proofErr w:type="spellStart"/>
            <w:r w:rsidRPr="00437C21">
              <w:rPr>
                <w:rFonts w:ascii="Calibri" w:hAnsi="Calibri" w:cs="Calibri"/>
                <w:b/>
                <w:color w:val="000000"/>
              </w:rPr>
              <w:t>kL</w:t>
            </w:r>
            <w:proofErr w:type="spellEnd"/>
            <w:r w:rsidRPr="00437C21">
              <w:rPr>
                <w:rFonts w:ascii="Calibri" w:hAnsi="Calibri" w:cs="Calibri"/>
                <w:b/>
                <w:color w:val="000000"/>
              </w:rPr>
              <w:t xml:space="preserve"> ≠ 0</w:t>
            </w:r>
          </w:p>
        </w:tc>
      </w:tr>
      <w:tr w:rsidR="008111E1" w:rsidRPr="00BE76D0" w14:paraId="362DEE2B" w14:textId="77777777" w:rsidTr="00E72CEA">
        <w:trPr>
          <w:trHeight w:val="359"/>
          <w:jc w:val="center"/>
        </w:trPr>
        <w:tc>
          <w:tcPr>
            <w:tcW w:w="1652" w:type="dxa"/>
            <w:vMerge/>
            <w:noWrap/>
            <w:vAlign w:val="center"/>
            <w:hideMark/>
          </w:tcPr>
          <w:p w14:paraId="5DE7A264" w14:textId="77777777" w:rsidR="008111E1" w:rsidRPr="00BE76D0" w:rsidRDefault="008111E1" w:rsidP="00E72CEA">
            <w:pPr>
              <w:jc w:val="center"/>
              <w:rPr>
                <w:rFonts w:ascii="Calibri" w:hAnsi="Calibri" w:cs="Calibri"/>
                <w:b/>
                <w:color w:val="000000"/>
                <w:sz w:val="21"/>
              </w:rPr>
            </w:pPr>
          </w:p>
        </w:tc>
        <w:tc>
          <w:tcPr>
            <w:tcW w:w="1652" w:type="dxa"/>
            <w:tcBorders>
              <w:bottom w:val="single" w:sz="4" w:space="0" w:color="auto"/>
            </w:tcBorders>
            <w:noWrap/>
            <w:vAlign w:val="center"/>
            <w:hideMark/>
          </w:tcPr>
          <w:p w14:paraId="1A4DCAD8"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Lactate to pyruvate peak ratio (a.u.)</w:t>
            </w:r>
          </w:p>
        </w:tc>
        <w:tc>
          <w:tcPr>
            <w:tcW w:w="1653" w:type="dxa"/>
            <w:tcBorders>
              <w:bottom w:val="single" w:sz="4" w:space="0" w:color="auto"/>
            </w:tcBorders>
            <w:noWrap/>
            <w:vAlign w:val="center"/>
            <w:hideMark/>
          </w:tcPr>
          <w:p w14:paraId="356B8541"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Lactate to pyruvate AUC ratio (a.u.)</w:t>
            </w:r>
          </w:p>
        </w:tc>
        <w:tc>
          <w:tcPr>
            <w:tcW w:w="1652" w:type="dxa"/>
            <w:tcBorders>
              <w:bottom w:val="single" w:sz="4" w:space="0" w:color="auto"/>
            </w:tcBorders>
            <w:noWrap/>
            <w:vAlign w:val="center"/>
            <w:hideMark/>
          </w:tcPr>
          <w:p w14:paraId="78E3DEB5" w14:textId="77777777" w:rsidR="008111E1" w:rsidRPr="00BE76D0" w:rsidRDefault="008111E1" w:rsidP="00E72CEA">
            <w:pPr>
              <w:jc w:val="center"/>
              <w:rPr>
                <w:rFonts w:ascii="Calibri" w:hAnsi="Calibri" w:cs="Calibri"/>
                <w:b/>
                <w:color w:val="000000"/>
                <w:sz w:val="21"/>
              </w:rPr>
            </w:pPr>
            <w:proofErr w:type="spellStart"/>
            <w:r w:rsidRPr="00BE76D0">
              <w:rPr>
                <w:rFonts w:ascii="Calibri" w:hAnsi="Calibri" w:cs="Calibri"/>
                <w:b/>
                <w:color w:val="000000"/>
                <w:sz w:val="21"/>
              </w:rPr>
              <w:t>kP</w:t>
            </w:r>
            <w:proofErr w:type="spellEnd"/>
            <w:r w:rsidRPr="00BE76D0">
              <w:rPr>
                <w:rFonts w:ascii="Calibri" w:hAnsi="Calibri" w:cs="Calibri"/>
                <w:b/>
                <w:color w:val="000000"/>
                <w:sz w:val="21"/>
              </w:rPr>
              <w:t xml:space="preserve"> (s</w:t>
            </w:r>
            <w:r w:rsidRPr="00BE76D0">
              <w:rPr>
                <w:rFonts w:ascii="Calibri" w:hAnsi="Calibri" w:cs="Calibri"/>
                <w:b/>
                <w:color w:val="000000"/>
                <w:sz w:val="21"/>
                <w:vertAlign w:val="superscript"/>
              </w:rPr>
              <w:t>-1</w:t>
            </w:r>
            <w:r w:rsidRPr="00BE76D0">
              <w:rPr>
                <w:rFonts w:ascii="Calibri" w:hAnsi="Calibri" w:cs="Calibri"/>
                <w:b/>
                <w:color w:val="000000"/>
                <w:sz w:val="21"/>
              </w:rPr>
              <w:t>)</w:t>
            </w:r>
          </w:p>
        </w:tc>
        <w:tc>
          <w:tcPr>
            <w:tcW w:w="1653" w:type="dxa"/>
            <w:tcBorders>
              <w:bottom w:val="single" w:sz="4" w:space="0" w:color="auto"/>
            </w:tcBorders>
            <w:noWrap/>
            <w:vAlign w:val="center"/>
            <w:hideMark/>
          </w:tcPr>
          <w:p w14:paraId="58E3CCA0"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T1eff (s)</w:t>
            </w:r>
          </w:p>
        </w:tc>
      </w:tr>
      <w:tr w:rsidR="008111E1" w:rsidRPr="00BE76D0" w14:paraId="3EA923A9" w14:textId="77777777" w:rsidTr="00E72CEA">
        <w:trPr>
          <w:trHeight w:val="359"/>
          <w:jc w:val="center"/>
        </w:trPr>
        <w:tc>
          <w:tcPr>
            <w:tcW w:w="1652" w:type="dxa"/>
            <w:tcBorders>
              <w:right w:val="single" w:sz="4" w:space="0" w:color="auto"/>
            </w:tcBorders>
            <w:noWrap/>
            <w:vAlign w:val="center"/>
            <w:hideMark/>
          </w:tcPr>
          <w:p w14:paraId="1B16AB82"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1</w:t>
            </w:r>
          </w:p>
        </w:tc>
        <w:tc>
          <w:tcPr>
            <w:tcW w:w="1652" w:type="dxa"/>
            <w:tcBorders>
              <w:top w:val="single" w:sz="4" w:space="0" w:color="auto"/>
              <w:left w:val="single" w:sz="4" w:space="0" w:color="auto"/>
            </w:tcBorders>
            <w:shd w:val="clear" w:color="auto" w:fill="D9D9D9" w:themeFill="background1" w:themeFillShade="D9"/>
            <w:noWrap/>
            <w:vAlign w:val="center"/>
            <w:hideMark/>
          </w:tcPr>
          <w:p w14:paraId="4FBE636E"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0.28</w:t>
            </w:r>
          </w:p>
        </w:tc>
        <w:tc>
          <w:tcPr>
            <w:tcW w:w="1653" w:type="dxa"/>
            <w:tcBorders>
              <w:top w:val="single" w:sz="4" w:space="0" w:color="auto"/>
            </w:tcBorders>
            <w:shd w:val="clear" w:color="auto" w:fill="D9D9D9" w:themeFill="background1" w:themeFillShade="D9"/>
            <w:noWrap/>
            <w:vAlign w:val="center"/>
            <w:hideMark/>
          </w:tcPr>
          <w:p w14:paraId="55F95E8F"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0.18</w:t>
            </w:r>
          </w:p>
        </w:tc>
        <w:tc>
          <w:tcPr>
            <w:tcW w:w="1652" w:type="dxa"/>
            <w:tcBorders>
              <w:top w:val="single" w:sz="4" w:space="0" w:color="auto"/>
            </w:tcBorders>
            <w:shd w:val="clear" w:color="auto" w:fill="D9D9D9" w:themeFill="background1" w:themeFillShade="D9"/>
            <w:noWrap/>
            <w:vAlign w:val="center"/>
            <w:hideMark/>
          </w:tcPr>
          <w:p w14:paraId="5AAD677E"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0.034</w:t>
            </w:r>
          </w:p>
        </w:tc>
        <w:tc>
          <w:tcPr>
            <w:tcW w:w="1653" w:type="dxa"/>
            <w:tcBorders>
              <w:top w:val="single" w:sz="4" w:space="0" w:color="auto"/>
            </w:tcBorders>
            <w:shd w:val="clear" w:color="auto" w:fill="D9D9D9" w:themeFill="background1" w:themeFillShade="D9"/>
            <w:noWrap/>
            <w:vAlign w:val="center"/>
            <w:hideMark/>
          </w:tcPr>
          <w:p w14:paraId="49683AEB"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27</w:t>
            </w:r>
          </w:p>
        </w:tc>
      </w:tr>
      <w:tr w:rsidR="008111E1" w:rsidRPr="00BE76D0" w14:paraId="6FCA29A5" w14:textId="77777777" w:rsidTr="00E72CEA">
        <w:trPr>
          <w:trHeight w:val="359"/>
          <w:jc w:val="center"/>
        </w:trPr>
        <w:tc>
          <w:tcPr>
            <w:tcW w:w="1652" w:type="dxa"/>
            <w:tcBorders>
              <w:right w:val="single" w:sz="4" w:space="0" w:color="auto"/>
            </w:tcBorders>
            <w:noWrap/>
            <w:vAlign w:val="center"/>
            <w:hideMark/>
          </w:tcPr>
          <w:p w14:paraId="79C9DF83"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2</w:t>
            </w:r>
          </w:p>
        </w:tc>
        <w:tc>
          <w:tcPr>
            <w:tcW w:w="1652" w:type="dxa"/>
            <w:tcBorders>
              <w:left w:val="single" w:sz="4" w:space="0" w:color="auto"/>
            </w:tcBorders>
            <w:noWrap/>
            <w:vAlign w:val="center"/>
            <w:hideMark/>
          </w:tcPr>
          <w:p w14:paraId="50908B9E"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0.28</w:t>
            </w:r>
          </w:p>
        </w:tc>
        <w:tc>
          <w:tcPr>
            <w:tcW w:w="1653" w:type="dxa"/>
            <w:noWrap/>
            <w:vAlign w:val="center"/>
            <w:hideMark/>
          </w:tcPr>
          <w:p w14:paraId="5448FCF2"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0.20</w:t>
            </w:r>
          </w:p>
        </w:tc>
        <w:tc>
          <w:tcPr>
            <w:tcW w:w="1652" w:type="dxa"/>
            <w:noWrap/>
            <w:vAlign w:val="center"/>
            <w:hideMark/>
          </w:tcPr>
          <w:p w14:paraId="0F1CB3DF"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0.046</w:t>
            </w:r>
          </w:p>
        </w:tc>
        <w:tc>
          <w:tcPr>
            <w:tcW w:w="1653" w:type="dxa"/>
            <w:noWrap/>
            <w:vAlign w:val="center"/>
            <w:hideMark/>
          </w:tcPr>
          <w:p w14:paraId="5B2D3153"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32</w:t>
            </w:r>
          </w:p>
        </w:tc>
      </w:tr>
      <w:tr w:rsidR="008111E1" w:rsidRPr="00BE76D0" w14:paraId="610644BF" w14:textId="77777777" w:rsidTr="00E72CEA">
        <w:trPr>
          <w:trHeight w:val="359"/>
          <w:jc w:val="center"/>
        </w:trPr>
        <w:tc>
          <w:tcPr>
            <w:tcW w:w="1652" w:type="dxa"/>
            <w:tcBorders>
              <w:right w:val="single" w:sz="4" w:space="0" w:color="auto"/>
            </w:tcBorders>
            <w:noWrap/>
            <w:vAlign w:val="center"/>
            <w:hideMark/>
          </w:tcPr>
          <w:p w14:paraId="39AC9FBE"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3</w:t>
            </w:r>
          </w:p>
        </w:tc>
        <w:tc>
          <w:tcPr>
            <w:tcW w:w="1652" w:type="dxa"/>
            <w:tcBorders>
              <w:left w:val="single" w:sz="4" w:space="0" w:color="auto"/>
            </w:tcBorders>
            <w:shd w:val="clear" w:color="auto" w:fill="D9D9D9" w:themeFill="background1" w:themeFillShade="D9"/>
            <w:noWrap/>
            <w:vAlign w:val="center"/>
            <w:hideMark/>
          </w:tcPr>
          <w:p w14:paraId="2E791F28"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0.31</w:t>
            </w:r>
          </w:p>
        </w:tc>
        <w:tc>
          <w:tcPr>
            <w:tcW w:w="1653" w:type="dxa"/>
            <w:shd w:val="clear" w:color="auto" w:fill="D9D9D9" w:themeFill="background1" w:themeFillShade="D9"/>
            <w:noWrap/>
            <w:vAlign w:val="center"/>
            <w:hideMark/>
          </w:tcPr>
          <w:p w14:paraId="77AD00EB"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0.22</w:t>
            </w:r>
          </w:p>
        </w:tc>
        <w:tc>
          <w:tcPr>
            <w:tcW w:w="1652" w:type="dxa"/>
            <w:shd w:val="clear" w:color="auto" w:fill="D9D9D9" w:themeFill="background1" w:themeFillShade="D9"/>
            <w:noWrap/>
            <w:vAlign w:val="center"/>
            <w:hideMark/>
          </w:tcPr>
          <w:p w14:paraId="43092AD6"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0.051</w:t>
            </w:r>
          </w:p>
        </w:tc>
        <w:tc>
          <w:tcPr>
            <w:tcW w:w="1653" w:type="dxa"/>
            <w:shd w:val="clear" w:color="auto" w:fill="D9D9D9" w:themeFill="background1" w:themeFillShade="D9"/>
            <w:noWrap/>
            <w:vAlign w:val="center"/>
            <w:hideMark/>
          </w:tcPr>
          <w:p w14:paraId="51BD2A22"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40</w:t>
            </w:r>
          </w:p>
        </w:tc>
      </w:tr>
      <w:tr w:rsidR="008111E1" w:rsidRPr="00BE76D0" w14:paraId="1A34D32B" w14:textId="77777777" w:rsidTr="00E72CEA">
        <w:trPr>
          <w:trHeight w:val="359"/>
          <w:jc w:val="center"/>
        </w:trPr>
        <w:tc>
          <w:tcPr>
            <w:tcW w:w="1652" w:type="dxa"/>
            <w:tcBorders>
              <w:right w:val="single" w:sz="4" w:space="0" w:color="auto"/>
            </w:tcBorders>
            <w:noWrap/>
            <w:vAlign w:val="center"/>
            <w:hideMark/>
          </w:tcPr>
          <w:p w14:paraId="488850E4"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4</w:t>
            </w:r>
          </w:p>
        </w:tc>
        <w:tc>
          <w:tcPr>
            <w:tcW w:w="1652" w:type="dxa"/>
            <w:tcBorders>
              <w:left w:val="single" w:sz="4" w:space="0" w:color="auto"/>
            </w:tcBorders>
            <w:noWrap/>
            <w:vAlign w:val="center"/>
            <w:hideMark/>
          </w:tcPr>
          <w:p w14:paraId="30941E2F"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0.24</w:t>
            </w:r>
          </w:p>
        </w:tc>
        <w:tc>
          <w:tcPr>
            <w:tcW w:w="1653" w:type="dxa"/>
            <w:noWrap/>
            <w:vAlign w:val="center"/>
            <w:hideMark/>
          </w:tcPr>
          <w:p w14:paraId="3D56C55E"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0.19</w:t>
            </w:r>
          </w:p>
        </w:tc>
        <w:tc>
          <w:tcPr>
            <w:tcW w:w="1652" w:type="dxa"/>
            <w:noWrap/>
            <w:vAlign w:val="center"/>
            <w:hideMark/>
          </w:tcPr>
          <w:p w14:paraId="44DE8E40"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0.040</w:t>
            </w:r>
          </w:p>
        </w:tc>
        <w:tc>
          <w:tcPr>
            <w:tcW w:w="1653" w:type="dxa"/>
            <w:noWrap/>
            <w:vAlign w:val="center"/>
            <w:hideMark/>
          </w:tcPr>
          <w:p w14:paraId="290404B1"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24</w:t>
            </w:r>
          </w:p>
        </w:tc>
      </w:tr>
      <w:tr w:rsidR="008111E1" w:rsidRPr="00BE76D0" w14:paraId="4E04FD7E" w14:textId="77777777" w:rsidTr="00E72CEA">
        <w:trPr>
          <w:trHeight w:val="359"/>
          <w:jc w:val="center"/>
        </w:trPr>
        <w:tc>
          <w:tcPr>
            <w:tcW w:w="1652" w:type="dxa"/>
            <w:tcBorders>
              <w:right w:val="single" w:sz="4" w:space="0" w:color="auto"/>
            </w:tcBorders>
            <w:noWrap/>
            <w:vAlign w:val="center"/>
            <w:hideMark/>
          </w:tcPr>
          <w:p w14:paraId="7795DC6E"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5</w:t>
            </w:r>
          </w:p>
        </w:tc>
        <w:tc>
          <w:tcPr>
            <w:tcW w:w="1652" w:type="dxa"/>
            <w:tcBorders>
              <w:left w:val="single" w:sz="4" w:space="0" w:color="auto"/>
            </w:tcBorders>
            <w:shd w:val="clear" w:color="auto" w:fill="D9D9D9" w:themeFill="background1" w:themeFillShade="D9"/>
            <w:noWrap/>
            <w:vAlign w:val="center"/>
            <w:hideMark/>
          </w:tcPr>
          <w:p w14:paraId="4B36508F"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0.26</w:t>
            </w:r>
          </w:p>
        </w:tc>
        <w:tc>
          <w:tcPr>
            <w:tcW w:w="1653" w:type="dxa"/>
            <w:shd w:val="clear" w:color="auto" w:fill="D9D9D9" w:themeFill="background1" w:themeFillShade="D9"/>
            <w:noWrap/>
            <w:vAlign w:val="center"/>
            <w:hideMark/>
          </w:tcPr>
          <w:p w14:paraId="7DBD6DAA"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0.22</w:t>
            </w:r>
          </w:p>
        </w:tc>
        <w:tc>
          <w:tcPr>
            <w:tcW w:w="1652" w:type="dxa"/>
            <w:shd w:val="clear" w:color="auto" w:fill="D9D9D9" w:themeFill="background1" w:themeFillShade="D9"/>
            <w:noWrap/>
            <w:vAlign w:val="center"/>
            <w:hideMark/>
          </w:tcPr>
          <w:p w14:paraId="67250C4A"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0.044</w:t>
            </w:r>
          </w:p>
        </w:tc>
        <w:tc>
          <w:tcPr>
            <w:tcW w:w="1653" w:type="dxa"/>
            <w:shd w:val="clear" w:color="auto" w:fill="D9D9D9" w:themeFill="background1" w:themeFillShade="D9"/>
            <w:noWrap/>
            <w:vAlign w:val="center"/>
            <w:hideMark/>
          </w:tcPr>
          <w:p w14:paraId="135564B4"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22</w:t>
            </w:r>
          </w:p>
        </w:tc>
      </w:tr>
      <w:tr w:rsidR="008111E1" w:rsidRPr="00BE76D0" w14:paraId="13B4B6FA" w14:textId="77777777" w:rsidTr="00E72CEA">
        <w:trPr>
          <w:trHeight w:val="359"/>
          <w:jc w:val="center"/>
        </w:trPr>
        <w:tc>
          <w:tcPr>
            <w:tcW w:w="1652" w:type="dxa"/>
            <w:tcBorders>
              <w:right w:val="single" w:sz="4" w:space="0" w:color="auto"/>
            </w:tcBorders>
            <w:noWrap/>
            <w:vAlign w:val="center"/>
            <w:hideMark/>
          </w:tcPr>
          <w:p w14:paraId="307DBC24"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6</w:t>
            </w:r>
          </w:p>
        </w:tc>
        <w:tc>
          <w:tcPr>
            <w:tcW w:w="1652" w:type="dxa"/>
            <w:tcBorders>
              <w:left w:val="single" w:sz="4" w:space="0" w:color="auto"/>
            </w:tcBorders>
            <w:noWrap/>
            <w:vAlign w:val="center"/>
            <w:hideMark/>
          </w:tcPr>
          <w:p w14:paraId="62A78419"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0.24</w:t>
            </w:r>
          </w:p>
        </w:tc>
        <w:tc>
          <w:tcPr>
            <w:tcW w:w="1653" w:type="dxa"/>
            <w:noWrap/>
            <w:vAlign w:val="center"/>
            <w:hideMark/>
          </w:tcPr>
          <w:p w14:paraId="4F8396D0"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0.15</w:t>
            </w:r>
          </w:p>
        </w:tc>
        <w:tc>
          <w:tcPr>
            <w:tcW w:w="1652" w:type="dxa"/>
            <w:noWrap/>
            <w:vAlign w:val="center"/>
            <w:hideMark/>
          </w:tcPr>
          <w:p w14:paraId="063D7A57"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0.031</w:t>
            </w:r>
          </w:p>
        </w:tc>
        <w:tc>
          <w:tcPr>
            <w:tcW w:w="1653" w:type="dxa"/>
            <w:noWrap/>
            <w:vAlign w:val="center"/>
            <w:hideMark/>
          </w:tcPr>
          <w:p w14:paraId="7F8B07BC"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40</w:t>
            </w:r>
          </w:p>
        </w:tc>
      </w:tr>
      <w:tr w:rsidR="008111E1" w:rsidRPr="00BE76D0" w14:paraId="657FB2BD" w14:textId="77777777" w:rsidTr="00E72CEA">
        <w:trPr>
          <w:trHeight w:val="359"/>
          <w:jc w:val="center"/>
        </w:trPr>
        <w:tc>
          <w:tcPr>
            <w:tcW w:w="1652" w:type="dxa"/>
            <w:tcBorders>
              <w:right w:val="single" w:sz="4" w:space="0" w:color="auto"/>
            </w:tcBorders>
            <w:noWrap/>
            <w:vAlign w:val="center"/>
            <w:hideMark/>
          </w:tcPr>
          <w:p w14:paraId="16DC5C14"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7</w:t>
            </w:r>
          </w:p>
        </w:tc>
        <w:tc>
          <w:tcPr>
            <w:tcW w:w="1652" w:type="dxa"/>
            <w:tcBorders>
              <w:left w:val="single" w:sz="4" w:space="0" w:color="auto"/>
            </w:tcBorders>
            <w:shd w:val="clear" w:color="auto" w:fill="D9D9D9" w:themeFill="background1" w:themeFillShade="D9"/>
            <w:noWrap/>
            <w:vAlign w:val="center"/>
            <w:hideMark/>
          </w:tcPr>
          <w:p w14:paraId="1EC53B24"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0.25</w:t>
            </w:r>
          </w:p>
        </w:tc>
        <w:tc>
          <w:tcPr>
            <w:tcW w:w="1653" w:type="dxa"/>
            <w:shd w:val="clear" w:color="auto" w:fill="D9D9D9" w:themeFill="background1" w:themeFillShade="D9"/>
            <w:noWrap/>
            <w:vAlign w:val="center"/>
            <w:hideMark/>
          </w:tcPr>
          <w:p w14:paraId="0F7A9FAF"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0.21</w:t>
            </w:r>
          </w:p>
        </w:tc>
        <w:tc>
          <w:tcPr>
            <w:tcW w:w="1652" w:type="dxa"/>
            <w:shd w:val="clear" w:color="auto" w:fill="D9D9D9" w:themeFill="background1" w:themeFillShade="D9"/>
            <w:noWrap/>
            <w:vAlign w:val="center"/>
            <w:hideMark/>
          </w:tcPr>
          <w:p w14:paraId="6E4CBA9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0.040</w:t>
            </w:r>
          </w:p>
        </w:tc>
        <w:tc>
          <w:tcPr>
            <w:tcW w:w="1653" w:type="dxa"/>
            <w:shd w:val="clear" w:color="auto" w:fill="D9D9D9" w:themeFill="background1" w:themeFillShade="D9"/>
            <w:noWrap/>
            <w:vAlign w:val="center"/>
            <w:hideMark/>
          </w:tcPr>
          <w:p w14:paraId="10A0022A"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37</w:t>
            </w:r>
          </w:p>
        </w:tc>
      </w:tr>
      <w:tr w:rsidR="008111E1" w:rsidRPr="00BE76D0" w14:paraId="31E11674" w14:textId="77777777" w:rsidTr="00E72CEA">
        <w:trPr>
          <w:trHeight w:val="359"/>
          <w:jc w:val="center"/>
        </w:trPr>
        <w:tc>
          <w:tcPr>
            <w:tcW w:w="1652" w:type="dxa"/>
            <w:tcBorders>
              <w:right w:val="single" w:sz="4" w:space="0" w:color="auto"/>
            </w:tcBorders>
            <w:noWrap/>
            <w:vAlign w:val="center"/>
            <w:hideMark/>
          </w:tcPr>
          <w:p w14:paraId="6EF8E050"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8</w:t>
            </w:r>
          </w:p>
        </w:tc>
        <w:tc>
          <w:tcPr>
            <w:tcW w:w="1652" w:type="dxa"/>
            <w:tcBorders>
              <w:left w:val="single" w:sz="4" w:space="0" w:color="auto"/>
            </w:tcBorders>
            <w:noWrap/>
            <w:vAlign w:val="center"/>
            <w:hideMark/>
          </w:tcPr>
          <w:p w14:paraId="5CC24D3B"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0.32</w:t>
            </w:r>
          </w:p>
        </w:tc>
        <w:tc>
          <w:tcPr>
            <w:tcW w:w="1653" w:type="dxa"/>
            <w:noWrap/>
            <w:vAlign w:val="center"/>
            <w:hideMark/>
          </w:tcPr>
          <w:p w14:paraId="2519A721"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0.20</w:t>
            </w:r>
          </w:p>
        </w:tc>
        <w:tc>
          <w:tcPr>
            <w:tcW w:w="1652" w:type="dxa"/>
            <w:noWrap/>
            <w:vAlign w:val="center"/>
            <w:hideMark/>
          </w:tcPr>
          <w:p w14:paraId="642D5688"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0.041</w:t>
            </w:r>
          </w:p>
        </w:tc>
        <w:tc>
          <w:tcPr>
            <w:tcW w:w="1653" w:type="dxa"/>
            <w:noWrap/>
            <w:vAlign w:val="center"/>
            <w:hideMark/>
          </w:tcPr>
          <w:p w14:paraId="3A5D8C6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26</w:t>
            </w:r>
          </w:p>
        </w:tc>
      </w:tr>
      <w:tr w:rsidR="008111E1" w:rsidRPr="00BE76D0" w14:paraId="42327CE3" w14:textId="77777777" w:rsidTr="00E72CEA">
        <w:trPr>
          <w:trHeight w:val="359"/>
          <w:jc w:val="center"/>
        </w:trPr>
        <w:tc>
          <w:tcPr>
            <w:tcW w:w="1652" w:type="dxa"/>
            <w:tcBorders>
              <w:right w:val="single" w:sz="4" w:space="0" w:color="auto"/>
            </w:tcBorders>
            <w:noWrap/>
            <w:vAlign w:val="center"/>
            <w:hideMark/>
          </w:tcPr>
          <w:p w14:paraId="2327265A"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Mean</w:t>
            </w:r>
          </w:p>
        </w:tc>
        <w:tc>
          <w:tcPr>
            <w:tcW w:w="1652" w:type="dxa"/>
            <w:tcBorders>
              <w:left w:val="single" w:sz="4" w:space="0" w:color="auto"/>
            </w:tcBorders>
            <w:shd w:val="clear" w:color="auto" w:fill="D9D9D9" w:themeFill="background1" w:themeFillShade="D9"/>
            <w:noWrap/>
            <w:vAlign w:val="center"/>
            <w:hideMark/>
          </w:tcPr>
          <w:p w14:paraId="2FF705B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0.27</w:t>
            </w:r>
          </w:p>
        </w:tc>
        <w:tc>
          <w:tcPr>
            <w:tcW w:w="1653" w:type="dxa"/>
            <w:shd w:val="clear" w:color="auto" w:fill="D9D9D9" w:themeFill="background1" w:themeFillShade="D9"/>
            <w:noWrap/>
            <w:vAlign w:val="center"/>
            <w:hideMark/>
          </w:tcPr>
          <w:p w14:paraId="32A40298"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0.19</w:t>
            </w:r>
          </w:p>
        </w:tc>
        <w:tc>
          <w:tcPr>
            <w:tcW w:w="1652" w:type="dxa"/>
            <w:shd w:val="clear" w:color="auto" w:fill="D9D9D9" w:themeFill="background1" w:themeFillShade="D9"/>
            <w:noWrap/>
            <w:vAlign w:val="center"/>
            <w:hideMark/>
          </w:tcPr>
          <w:p w14:paraId="59046060"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0.041</w:t>
            </w:r>
          </w:p>
        </w:tc>
        <w:tc>
          <w:tcPr>
            <w:tcW w:w="1653" w:type="dxa"/>
            <w:shd w:val="clear" w:color="auto" w:fill="D9D9D9" w:themeFill="background1" w:themeFillShade="D9"/>
            <w:noWrap/>
            <w:vAlign w:val="center"/>
            <w:hideMark/>
          </w:tcPr>
          <w:p w14:paraId="17F236F1"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31</w:t>
            </w:r>
          </w:p>
        </w:tc>
      </w:tr>
      <w:tr w:rsidR="008111E1" w:rsidRPr="00BE76D0" w14:paraId="51976C81" w14:textId="77777777" w:rsidTr="00E72CEA">
        <w:trPr>
          <w:trHeight w:val="359"/>
          <w:jc w:val="center"/>
        </w:trPr>
        <w:tc>
          <w:tcPr>
            <w:tcW w:w="1652" w:type="dxa"/>
            <w:tcBorders>
              <w:right w:val="single" w:sz="4" w:space="0" w:color="auto"/>
            </w:tcBorders>
            <w:noWrap/>
            <w:vAlign w:val="center"/>
            <w:hideMark/>
          </w:tcPr>
          <w:p w14:paraId="25EDF94B"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t>Standard deviation</w:t>
            </w:r>
          </w:p>
        </w:tc>
        <w:tc>
          <w:tcPr>
            <w:tcW w:w="1652" w:type="dxa"/>
            <w:tcBorders>
              <w:left w:val="single" w:sz="4" w:space="0" w:color="auto"/>
            </w:tcBorders>
            <w:noWrap/>
            <w:vAlign w:val="center"/>
            <w:hideMark/>
          </w:tcPr>
          <w:p w14:paraId="35816A25"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0.03</w:t>
            </w:r>
          </w:p>
        </w:tc>
        <w:tc>
          <w:tcPr>
            <w:tcW w:w="1653" w:type="dxa"/>
            <w:noWrap/>
            <w:vAlign w:val="center"/>
            <w:hideMark/>
          </w:tcPr>
          <w:p w14:paraId="40D1D440"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0.02</w:t>
            </w:r>
          </w:p>
        </w:tc>
        <w:tc>
          <w:tcPr>
            <w:tcW w:w="1652" w:type="dxa"/>
            <w:noWrap/>
            <w:vAlign w:val="center"/>
            <w:hideMark/>
          </w:tcPr>
          <w:p w14:paraId="4CC867A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0.006</w:t>
            </w:r>
          </w:p>
        </w:tc>
        <w:tc>
          <w:tcPr>
            <w:tcW w:w="1653" w:type="dxa"/>
            <w:noWrap/>
            <w:vAlign w:val="center"/>
            <w:hideMark/>
          </w:tcPr>
          <w:p w14:paraId="3F3E3C2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7</w:t>
            </w:r>
          </w:p>
        </w:tc>
      </w:tr>
      <w:tr w:rsidR="008111E1" w:rsidRPr="00BE76D0" w14:paraId="4FF7E1D2" w14:textId="77777777" w:rsidTr="00E72CEA">
        <w:trPr>
          <w:trHeight w:val="359"/>
          <w:jc w:val="center"/>
        </w:trPr>
        <w:tc>
          <w:tcPr>
            <w:tcW w:w="1652" w:type="dxa"/>
            <w:tcBorders>
              <w:right w:val="single" w:sz="4" w:space="0" w:color="auto"/>
            </w:tcBorders>
            <w:noWrap/>
            <w:vAlign w:val="center"/>
            <w:hideMark/>
          </w:tcPr>
          <w:p w14:paraId="392A68C1" w14:textId="77777777" w:rsidR="008111E1" w:rsidRPr="00BE76D0" w:rsidRDefault="008111E1" w:rsidP="00E72CEA">
            <w:pPr>
              <w:jc w:val="center"/>
              <w:rPr>
                <w:rFonts w:ascii="Calibri" w:hAnsi="Calibri" w:cs="Calibri"/>
                <w:b/>
                <w:color w:val="000000"/>
                <w:sz w:val="21"/>
              </w:rPr>
            </w:pPr>
            <w:r w:rsidRPr="00BE76D0">
              <w:rPr>
                <w:rFonts w:ascii="Calibri" w:hAnsi="Calibri" w:cs="Calibri"/>
                <w:b/>
                <w:color w:val="000000"/>
                <w:sz w:val="21"/>
              </w:rPr>
              <w:lastRenderedPageBreak/>
              <w:t>Coefficient of variation (%)</w:t>
            </w:r>
          </w:p>
        </w:tc>
        <w:tc>
          <w:tcPr>
            <w:tcW w:w="1652" w:type="dxa"/>
            <w:tcBorders>
              <w:left w:val="single" w:sz="4" w:space="0" w:color="auto"/>
            </w:tcBorders>
            <w:shd w:val="clear" w:color="auto" w:fill="D9D9D9" w:themeFill="background1" w:themeFillShade="D9"/>
            <w:noWrap/>
            <w:vAlign w:val="center"/>
            <w:hideMark/>
          </w:tcPr>
          <w:p w14:paraId="2B01906D"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11.62</w:t>
            </w:r>
          </w:p>
        </w:tc>
        <w:tc>
          <w:tcPr>
            <w:tcW w:w="1653" w:type="dxa"/>
            <w:shd w:val="clear" w:color="auto" w:fill="D9D9D9" w:themeFill="background1" w:themeFillShade="D9"/>
            <w:noWrap/>
            <w:vAlign w:val="center"/>
            <w:hideMark/>
          </w:tcPr>
          <w:p w14:paraId="760E770B"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10.97</w:t>
            </w:r>
          </w:p>
        </w:tc>
        <w:tc>
          <w:tcPr>
            <w:tcW w:w="1652" w:type="dxa"/>
            <w:shd w:val="clear" w:color="auto" w:fill="D9D9D9" w:themeFill="background1" w:themeFillShade="D9"/>
            <w:noWrap/>
            <w:vAlign w:val="center"/>
            <w:hideMark/>
          </w:tcPr>
          <w:p w14:paraId="23F9CBD9" w14:textId="77777777" w:rsidR="008111E1" w:rsidRPr="00954126" w:rsidRDefault="008111E1" w:rsidP="00E72CEA">
            <w:pPr>
              <w:jc w:val="center"/>
              <w:rPr>
                <w:rFonts w:ascii="Calibri" w:hAnsi="Calibri" w:cs="Calibri"/>
                <w:color w:val="000000"/>
                <w:sz w:val="20"/>
              </w:rPr>
            </w:pPr>
            <w:r w:rsidRPr="00954126">
              <w:rPr>
                <w:rFonts w:ascii="Calibri" w:hAnsi="Calibri" w:cs="Calibri"/>
                <w:color w:val="000000"/>
                <w:sz w:val="20"/>
              </w:rPr>
              <w:t>15.45</w:t>
            </w:r>
          </w:p>
        </w:tc>
        <w:tc>
          <w:tcPr>
            <w:tcW w:w="1653" w:type="dxa"/>
            <w:shd w:val="clear" w:color="auto" w:fill="D9D9D9" w:themeFill="background1" w:themeFillShade="D9"/>
            <w:noWrap/>
            <w:vAlign w:val="center"/>
            <w:hideMark/>
          </w:tcPr>
          <w:p w14:paraId="410DF835" w14:textId="77777777" w:rsidR="008111E1" w:rsidRPr="00954126" w:rsidRDefault="008111E1" w:rsidP="00E72CEA">
            <w:pPr>
              <w:keepNext/>
              <w:jc w:val="center"/>
              <w:rPr>
                <w:rFonts w:ascii="Calibri" w:hAnsi="Calibri" w:cs="Calibri"/>
                <w:color w:val="000000"/>
                <w:sz w:val="20"/>
              </w:rPr>
            </w:pPr>
            <w:r w:rsidRPr="00954126">
              <w:rPr>
                <w:rFonts w:ascii="Calibri" w:hAnsi="Calibri" w:cs="Calibri"/>
                <w:color w:val="000000"/>
                <w:sz w:val="20"/>
              </w:rPr>
              <w:t>23</w:t>
            </w:r>
          </w:p>
        </w:tc>
      </w:tr>
    </w:tbl>
    <w:p w14:paraId="739F0396" w14:textId="77777777" w:rsidR="008111E1" w:rsidRDefault="008111E1" w:rsidP="008111E1">
      <w:pPr>
        <w:pStyle w:val="Caption"/>
      </w:pPr>
    </w:p>
    <w:p w14:paraId="36598A94" w14:textId="77777777" w:rsidR="008111E1" w:rsidRDefault="008111E1" w:rsidP="008111E1">
      <w:pPr>
        <w:pStyle w:val="Caption"/>
        <w:rPr>
          <w:rFonts w:cstheme="minorHAnsi"/>
          <w:b/>
          <w:sz w:val="32"/>
        </w:rPr>
      </w:pPr>
      <w:r>
        <w:t xml:space="preserve">Table S 1 - Graphical and kinetic analysis was performed on the metabolite time curves from all experiments in this study, using the methods outlined in Figure S1. </w:t>
      </w:r>
    </w:p>
    <w:p w14:paraId="242617A0" w14:textId="77777777" w:rsidR="007A1CC4" w:rsidRDefault="008111E1">
      <w:bookmarkStart w:id="0" w:name="_GoBack"/>
      <w:bookmarkEnd w:id="0"/>
    </w:p>
    <w:sectPr w:rsidR="007A1CC4" w:rsidSect="00A45850">
      <w:pgSz w:w="11900" w:h="16840"/>
      <w:pgMar w:top="1440" w:right="1440" w:bottom="1440" w:left="1440" w:header="708" w:footer="708" w:gutter="0"/>
      <w:lnNumType w:countBy="1" w:restart="continuous"/>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AEF" w:usb1="C0007841"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1"/>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111E1"/>
    <w:rsid w:val="001B0A90"/>
    <w:rsid w:val="001E6B6F"/>
    <w:rsid w:val="00317DB3"/>
    <w:rsid w:val="005E5030"/>
    <w:rsid w:val="008111E1"/>
    <w:rsid w:val="00A673A4"/>
    <w:rsid w:val="00B70B92"/>
    <w:rsid w:val="00C54E5E"/>
    <w:rsid w:val="00C91508"/>
    <w:rsid w:val="00C9468A"/>
    <w:rsid w:val="00D20690"/>
    <w:rsid w:val="00E24382"/>
    <w:rsid w:val="00EB395B"/>
    <w:rsid w:val="00EC0008"/>
    <w:rsid w:val="00F41EC6"/>
    <w:rsid w:val="00FB1FA3"/>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ecimalSymbol w:val="."/>
  <w:listSeparator w:val=","/>
  <w14:docId w14:val="67357DEE"/>
  <w15:chartTrackingRefBased/>
  <w15:docId w15:val="{5EFBD202-118E-4C44-AD26-D47C09DBDA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4"/>
        <w:szCs w:val="24"/>
        <w:lang w:val="en-GB" w:eastAsia="en-US" w:bidi="ar-SA"/>
      </w:rPr>
    </w:rPrDefault>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8111E1"/>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Caption">
    <w:name w:val="caption"/>
    <w:basedOn w:val="Normal"/>
    <w:next w:val="Normal"/>
    <w:uiPriority w:val="35"/>
    <w:unhideWhenUsed/>
    <w:qFormat/>
    <w:rsid w:val="008111E1"/>
    <w:pPr>
      <w:spacing w:after="200"/>
    </w:pPr>
    <w:rPr>
      <w:i/>
      <w:iCs/>
      <w:color w:val="44546A" w:themeColor="text2"/>
      <w:sz w:val="18"/>
      <w:szCs w:val="18"/>
    </w:rPr>
  </w:style>
  <w:style w:type="table" w:styleId="TableGrid">
    <w:name w:val="Table Grid"/>
    <w:basedOn w:val="TableNormal"/>
    <w:uiPriority w:val="39"/>
    <w:rsid w:val="008111E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LineNumber">
    <w:name w:val="line number"/>
    <w:basedOn w:val="DefaultParagraphFont"/>
    <w:uiPriority w:val="99"/>
    <w:semiHidden/>
    <w:unhideWhenUsed/>
    <w:rsid w:val="008111E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allowPNG/>
</w:webSettings>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webSettings" Target="webSettings.xml"/><Relationship Id="rId7" Type="http://schemas.openxmlformats.org/officeDocument/2006/relationships/fontTable" Target="fontTable.xml"/><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tiff"/><Relationship Id="rId5" Type="http://schemas.openxmlformats.org/officeDocument/2006/relationships/image" Target="media/image2.tiff"/><Relationship Id="rId4" Type="http://schemas.openxmlformats.org/officeDocument/2006/relationships/image" Target="media/image1.tif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0</TotalTime>
  <Pages>3</Pages>
  <Words>367</Words>
  <Characters>2095</Characters>
  <Application>Microsoft Office Word</Application>
  <DocSecurity>0</DocSecurity>
  <Lines>17</Lines>
  <Paragraphs>4</Paragraphs>
  <ScaleCrop>false</ScaleCrop>
  <Company/>
  <LinksUpToDate>false</LinksUpToDate>
  <CharactersWithSpaces>2458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Chowdhury, Rafat</dc:creator>
  <cp:keywords/>
  <dc:description/>
  <cp:lastModifiedBy>Chowdhury, Rafat</cp:lastModifiedBy>
  <cp:revision>1</cp:revision>
  <dcterms:created xsi:type="dcterms:W3CDTF">2021-06-24T09:45:00Z</dcterms:created>
  <dcterms:modified xsi:type="dcterms:W3CDTF">2021-06-24T09:45:00Z</dcterms:modified>
</cp:coreProperties>
</file>