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4E112" w14:textId="77777777" w:rsidR="00A16F58" w:rsidRPr="004F2C9F" w:rsidRDefault="00A16F58" w:rsidP="00A16F58">
      <w:pPr>
        <w:spacing w:line="276" w:lineRule="auto"/>
        <w:jc w:val="center"/>
        <w:rPr>
          <w:b/>
          <w:i/>
          <w:iCs/>
        </w:rPr>
      </w:pPr>
      <w:r w:rsidRPr="00A16F58">
        <w:rPr>
          <w:b/>
          <w:i/>
          <w:iCs/>
        </w:rPr>
        <w:t xml:space="preserve">A </w:t>
      </w:r>
      <w:r w:rsidRPr="004F2C9F">
        <w:rPr>
          <w:b/>
          <w:i/>
          <w:iCs/>
        </w:rPr>
        <w:t>Model to Quantify the Influence of Treatment Patterns and Optimize Outcomes in nAMD</w:t>
      </w:r>
    </w:p>
    <w:p w14:paraId="6AE97C78" w14:textId="473C3A48" w:rsidR="000B5EE9" w:rsidRPr="004F2C9F" w:rsidRDefault="000B5EE9" w:rsidP="000B5EE9">
      <w:pPr>
        <w:spacing w:line="276" w:lineRule="auto"/>
        <w:jc w:val="center"/>
        <w:rPr>
          <w:i/>
          <w:sz w:val="18"/>
          <w:vertAlign w:val="superscript"/>
        </w:rPr>
      </w:pPr>
      <w:r w:rsidRPr="004F2C9F">
        <w:rPr>
          <w:i/>
          <w:sz w:val="18"/>
        </w:rPr>
        <w:t xml:space="preserve">Focke Ziemssen, Hansjürgen Agostini, Nicolas Feltgen, Robert P. Finger, Christos Haritoglou, </w:t>
      </w:r>
      <w:r w:rsidRPr="004F2C9F">
        <w:rPr>
          <w:i/>
          <w:sz w:val="18"/>
        </w:rPr>
        <w:br/>
        <w:t>Hans Hoerauf, Matthias Iwersen, Martina Porstner, Andreas Clemens, and Benjamin Gmeiner</w:t>
      </w:r>
    </w:p>
    <w:p w14:paraId="51FCC2C5" w14:textId="77777777" w:rsidR="00A16F58" w:rsidRPr="004F2C9F" w:rsidRDefault="00A16F58" w:rsidP="00B962FE">
      <w:pPr>
        <w:spacing w:line="276" w:lineRule="auto"/>
        <w:jc w:val="center"/>
        <w:rPr>
          <w:b/>
          <w:i/>
          <w:iCs/>
          <w:sz w:val="24"/>
          <w:szCs w:val="24"/>
        </w:rPr>
      </w:pPr>
    </w:p>
    <w:p w14:paraId="170A909C" w14:textId="7ECB22A3" w:rsidR="00B962FE" w:rsidRPr="004F2C9F" w:rsidRDefault="00B962FE" w:rsidP="00B962FE">
      <w:pPr>
        <w:spacing w:line="276" w:lineRule="auto"/>
        <w:jc w:val="center"/>
        <w:rPr>
          <w:b/>
          <w:i/>
          <w:iCs/>
          <w:sz w:val="24"/>
          <w:szCs w:val="24"/>
        </w:rPr>
      </w:pPr>
      <w:r w:rsidRPr="004F2C9F">
        <w:rPr>
          <w:b/>
          <w:i/>
          <w:iCs/>
          <w:sz w:val="24"/>
          <w:szCs w:val="24"/>
        </w:rPr>
        <w:t>Supplementary Information</w:t>
      </w:r>
    </w:p>
    <w:p w14:paraId="57049113" w14:textId="77777777" w:rsidR="00A80508" w:rsidRPr="004F2C9F" w:rsidRDefault="00C3000E">
      <w:pPr>
        <w:spacing w:line="276" w:lineRule="auto"/>
        <w:jc w:val="left"/>
        <w:rPr>
          <w:b/>
        </w:rPr>
      </w:pPr>
      <w:r w:rsidRPr="004F2C9F">
        <w:rPr>
          <w:b/>
        </w:rPr>
        <w:t>Model</w:t>
      </w:r>
    </w:p>
    <w:p w14:paraId="653E6822" w14:textId="77777777" w:rsidR="00A80508" w:rsidRDefault="00C3000E">
      <w:pPr>
        <w:spacing w:after="0" w:line="276" w:lineRule="auto"/>
        <w:rPr>
          <w:rFonts w:eastAsiaTheme="minorEastAsia"/>
        </w:rPr>
      </w:pPr>
      <w:r>
        <w:t xml:space="preserve">Mulyukov </w:t>
      </w:r>
      <w:r>
        <w:rPr>
          <w:i/>
        </w:rPr>
        <w:t>et al</w:t>
      </w:r>
      <w:r>
        <w:t xml:space="preserve">. </w:t>
      </w:r>
      <w:r>
        <w:rPr>
          <w:rFonts w:eastAsiaTheme="minorEastAsia"/>
        </w:rPr>
        <w:t xml:space="preserve">tested effects of age, sex and baseline VA on several model parameters. Only the effect of age on </w:t>
      </w:r>
      <m:oMath>
        <m:sSubSup>
          <m:sSubSupPr>
            <m:ctrlPr>
              <w:rPr>
                <w:rFonts w:ascii="Cambria Math" w:eastAsiaTheme="minorEastAsia" w:hAnsi="Cambria Math"/>
                <w:i/>
              </w:rPr>
            </m:ctrlPr>
          </m:sSubSupPr>
          <m:e>
            <m:r>
              <w:rPr>
                <w:rFonts w:ascii="Cambria Math" w:eastAsiaTheme="minorEastAsia" w:hAnsi="Cambria Math"/>
              </w:rPr>
              <m:t>E</m:t>
            </m:r>
          </m:e>
          <m:sub>
            <m:r>
              <w:rPr>
                <w:rFonts w:ascii="Cambria Math" w:eastAsiaTheme="minorEastAsia" w:hAnsi="Cambria Math"/>
              </w:rPr>
              <m:t>max,i</m:t>
            </m:r>
          </m:sub>
          <m:sup>
            <m:r>
              <w:rPr>
                <w:rFonts w:ascii="Cambria Math" w:eastAsiaTheme="minorEastAsia" w:hAnsi="Cambria Math"/>
              </w:rPr>
              <m:t>ss</m:t>
            </m:r>
          </m:sup>
        </m:sSubSup>
      </m:oMath>
      <w:r>
        <w:rPr>
          <w:rFonts w:eastAsiaTheme="minorEastAsia"/>
        </w:rPr>
        <w:t xml:space="preserve"> (Equation 6) was significant and is kept in the model. However, baseline VA still has an implicit effect on VA due to the model structure given by Equation 4.</w:t>
      </w:r>
    </w:p>
    <w:p w14:paraId="262DBF36" w14:textId="77777777" w:rsidR="00A80508" w:rsidRDefault="00C3000E">
      <w:pPr>
        <w:spacing w:after="0" w:line="276" w:lineRule="auto"/>
      </w:pPr>
      <w:r>
        <w:t xml:space="preserve">Mulyukov </w:t>
      </w:r>
      <w:r>
        <w:rPr>
          <w:i/>
        </w:rPr>
        <w:t>et al</w:t>
      </w:r>
      <w:r>
        <w:t xml:space="preserve">. applied a non-linear mixed model with fixed and random effects. Here, we estimated all parameters as fixed effects to keep the model parsimonious with the aim to predict population level mean VA change while prediction of individual level variation or estimation of p-values is not the focus of this study. </w:t>
      </w:r>
    </w:p>
    <w:p w14:paraId="440D52CF" w14:textId="77777777" w:rsidR="00A80508" w:rsidRDefault="00A80508">
      <w:pPr>
        <w:spacing w:after="0" w:line="276" w:lineRule="auto"/>
        <w:rPr>
          <w:rFonts w:eastAsiaTheme="minorEastAsia"/>
        </w:rPr>
      </w:pPr>
    </w:p>
    <w:p w14:paraId="4E2EA105" w14:textId="77777777" w:rsidR="00A80508" w:rsidRDefault="00C3000E">
      <w:pPr>
        <w:spacing w:after="0" w:line="276" w:lineRule="auto"/>
        <w:rPr>
          <w:rFonts w:eastAsiaTheme="minorEastAsia"/>
        </w:rPr>
      </w:pPr>
      <w:r>
        <w:rPr>
          <w:rFonts w:eastAsiaTheme="minorEastAsia"/>
        </w:rPr>
        <w:t xml:space="preserve">The model was parameterized by iterative least square estimation using Matlab R2020a on data of the OCEAN study. The parameters </w:t>
      </w:r>
      <m:oMath>
        <m:sSub>
          <m:sSubPr>
            <m:ctrlPr>
              <w:rPr>
                <w:rFonts w:ascii="Cambria Math" w:eastAsiaTheme="minorEastAsia" w:hAnsi="Cambria Math"/>
                <w:b/>
                <w:bCs/>
                <w:i/>
                <w:sz w:val="18"/>
                <w:szCs w:val="18"/>
              </w:rPr>
            </m:ctrlPr>
          </m:sSubPr>
          <m:e>
            <m:r>
              <m:rPr>
                <m:sty m:val="bi"/>
              </m:rPr>
              <w:rPr>
                <w:rFonts w:ascii="Cambria Math" w:eastAsiaTheme="minorEastAsia" w:hAnsi="Cambria Math"/>
                <w:sz w:val="18"/>
                <w:szCs w:val="18"/>
              </w:rPr>
              <m:t>g</m:t>
            </m:r>
          </m:e>
          <m:sub>
            <m:r>
              <m:rPr>
                <m:sty m:val="bi"/>
              </m:rPr>
              <w:rPr>
                <w:rFonts w:ascii="Cambria Math" w:eastAsiaTheme="minorEastAsia" w:hAnsi="Cambria Math"/>
                <w:sz w:val="18"/>
                <w:szCs w:val="18"/>
              </w:rPr>
              <m:t>ss</m:t>
            </m:r>
          </m:sub>
        </m:sSub>
      </m:oMath>
      <w:r>
        <w:rPr>
          <w:rFonts w:eastAsiaTheme="minorEastAsia"/>
          <w:b/>
          <w:bCs/>
          <w:sz w:val="18"/>
          <w:szCs w:val="18"/>
        </w:rPr>
        <w:t xml:space="preserve"> ,</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out</m:t>
            </m:r>
          </m:sub>
        </m:sSub>
      </m:oMath>
      <w:r>
        <w:rPr>
          <w:rFonts w:eastAsiaTheme="minorEastAsia"/>
        </w:rPr>
        <w:t xml:space="preserve"> ,  </w:t>
      </w:r>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drug</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k</m:t>
            </m:r>
          </m:e>
          <m:sub>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max</m:t>
                </m:r>
              </m:sub>
            </m:sSub>
          </m:sub>
        </m:sSub>
      </m:oMath>
      <w:r>
        <w:rPr>
          <w:rFonts w:eastAsiaTheme="minorEastAsia"/>
        </w:rPr>
        <w:t xml:space="preserve"> were pre-specified (</w:t>
      </w:r>
      <w:r>
        <w:t xml:space="preserve">Mulyukov </w:t>
      </w:r>
      <w:r>
        <w:rPr>
          <w:i/>
        </w:rPr>
        <w:t>et al</w:t>
      </w:r>
      <w:r>
        <w:t>. 2018)</w:t>
      </w:r>
      <w:r>
        <w:rPr>
          <w:rFonts w:eastAsiaTheme="minorEastAsia"/>
        </w:rPr>
        <w:t>, all other parameters were estimated by the data.  Missing VA values were not replaced. Simulations were run until Month 18 as data for later time points were scarce due to dropouts. Patients with missing baseline parameters were deleted listwise.</w:t>
      </w:r>
    </w:p>
    <w:p w14:paraId="6DE42424" w14:textId="77777777" w:rsidR="00A80508" w:rsidRDefault="00A80508">
      <w:pPr>
        <w:spacing w:after="0" w:line="276" w:lineRule="auto"/>
        <w:rPr>
          <w:rFonts w:eastAsiaTheme="minorEastAsia"/>
        </w:rPr>
      </w:pPr>
    </w:p>
    <w:p w14:paraId="644B656C" w14:textId="77777777" w:rsidR="00A80508" w:rsidRDefault="00C3000E">
      <w:pPr>
        <w:spacing w:after="0" w:line="276" w:lineRule="auto"/>
        <w:rPr>
          <w:rFonts w:eastAsiaTheme="minorEastAsia"/>
        </w:rPr>
      </w:pPr>
      <w:r>
        <w:rPr>
          <w:rFonts w:eastAsiaTheme="minorEastAsia"/>
        </w:rPr>
        <w:t>All parameter estimates are listed in S1.</w:t>
      </w:r>
    </w:p>
    <w:p w14:paraId="3B7ED340" w14:textId="77777777" w:rsidR="00A80508" w:rsidRDefault="00A80508">
      <w:pPr>
        <w:jc w:val="left"/>
        <w:rPr>
          <w:rFonts w:eastAsiaTheme="minorEastAsia"/>
        </w:rPr>
      </w:pPr>
    </w:p>
    <w:p w14:paraId="75E1127D" w14:textId="77777777" w:rsidR="00B962FE" w:rsidRDefault="00B962FE">
      <w:pPr>
        <w:jc w:val="left"/>
        <w:rPr>
          <w:b/>
        </w:rPr>
      </w:pPr>
      <w:r>
        <w:rPr>
          <w:b/>
        </w:rPr>
        <w:br w:type="page"/>
      </w:r>
    </w:p>
    <w:p w14:paraId="0B7B1120" w14:textId="1D44DD0E" w:rsidR="00A80508" w:rsidRDefault="00C3000E">
      <w:pPr>
        <w:spacing w:line="276" w:lineRule="auto"/>
        <w:jc w:val="left"/>
        <w:rPr>
          <w:rFonts w:eastAsiaTheme="minorEastAsia"/>
        </w:rPr>
      </w:pPr>
      <w:r>
        <w:rPr>
          <w:b/>
        </w:rPr>
        <w:lastRenderedPageBreak/>
        <w:t>Supplementary tables and figures</w:t>
      </w:r>
    </w:p>
    <w:p w14:paraId="0B4CA80F" w14:textId="77777777" w:rsidR="00A80508" w:rsidRDefault="00C3000E">
      <w:pPr>
        <w:spacing w:after="0" w:line="276" w:lineRule="auto"/>
        <w:rPr>
          <w:rFonts w:eastAsiaTheme="minorEastAsia"/>
          <w:b/>
          <w:bCs/>
          <w:i/>
          <w:iCs/>
          <w:color w:val="44546A" w:themeColor="text2"/>
          <w:sz w:val="16"/>
          <w:szCs w:val="16"/>
        </w:rPr>
      </w:pPr>
      <w:r>
        <w:rPr>
          <w:rFonts w:eastAsiaTheme="minorEastAsia"/>
          <w:b/>
          <w:bCs/>
          <w:i/>
          <w:iCs/>
          <w:color w:val="44546A" w:themeColor="text2"/>
          <w:sz w:val="16"/>
          <w:szCs w:val="16"/>
        </w:rPr>
        <w:t>Supplementary Table S1</w:t>
      </w:r>
      <w:r>
        <w:rPr>
          <w:b/>
          <w:bCs/>
          <w:i/>
          <w:iCs/>
          <w:color w:val="44546A" w:themeColor="text2"/>
          <w:sz w:val="16"/>
          <w:szCs w:val="16"/>
        </w:rPr>
        <w:t xml:space="preserve"> | </w:t>
      </w:r>
      <w:r>
        <w:rPr>
          <w:rFonts w:eastAsiaTheme="minorEastAsia"/>
          <w:b/>
          <w:bCs/>
          <w:i/>
          <w:iCs/>
          <w:color w:val="44546A" w:themeColor="text2"/>
          <w:sz w:val="16"/>
          <w:szCs w:val="16"/>
        </w:rPr>
        <w:t xml:space="preserve">Parameter estimates of visual acuity prediction model, trained on data </w:t>
      </w:r>
      <w:r>
        <w:rPr>
          <w:b/>
          <w:bCs/>
          <w:i/>
          <w:iCs/>
          <w:color w:val="44546A" w:themeColor="text2"/>
          <w:sz w:val="16"/>
          <w:szCs w:val="16"/>
        </w:rPr>
        <w:t xml:space="preserve">from the non-interventional study </w:t>
      </w:r>
      <w:r>
        <w:rPr>
          <w:rFonts w:eastAsiaTheme="minorEastAsia"/>
          <w:b/>
          <w:bCs/>
          <w:i/>
          <w:iCs/>
          <w:color w:val="44546A" w:themeColor="text2"/>
          <w:sz w:val="16"/>
          <w:szCs w:val="16"/>
        </w:rPr>
        <w:t xml:space="preserve">OCEAN. </w:t>
      </w:r>
    </w:p>
    <w:tbl>
      <w:tblPr>
        <w:tblStyle w:val="PlainTable21"/>
        <w:tblW w:w="9693" w:type="dxa"/>
        <w:tblLook w:val="04A0" w:firstRow="1" w:lastRow="0" w:firstColumn="1" w:lastColumn="0" w:noHBand="0" w:noVBand="1"/>
      </w:tblPr>
      <w:tblGrid>
        <w:gridCol w:w="1165"/>
        <w:gridCol w:w="762"/>
        <w:gridCol w:w="5779"/>
        <w:gridCol w:w="1987"/>
      </w:tblGrid>
      <w:tr w:rsidR="00A80508" w14:paraId="6FDA03DE" w14:textId="77777777" w:rsidTr="00A8050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Pr>
          <w:p w14:paraId="16D7FA1B" w14:textId="77777777" w:rsidR="00A80508" w:rsidRDefault="00C3000E">
            <w:pPr>
              <w:spacing w:line="276" w:lineRule="auto"/>
              <w:rPr>
                <w:rFonts w:ascii="Arial" w:hAnsi="Arial" w:cs="Arial"/>
                <w:sz w:val="18"/>
                <w:szCs w:val="18"/>
                <w:lang w:val="en-US"/>
              </w:rPr>
            </w:pPr>
            <w:r>
              <w:rPr>
                <w:rFonts w:ascii="Arial" w:hAnsi="Arial" w:cs="Arial"/>
                <w:sz w:val="18"/>
                <w:szCs w:val="18"/>
              </w:rPr>
              <w:t>Parameter</w:t>
            </w:r>
          </w:p>
        </w:tc>
        <w:tc>
          <w:tcPr>
            <w:tcW w:w="0" w:type="auto"/>
          </w:tcPr>
          <w:p w14:paraId="76A28930" w14:textId="77777777" w:rsidR="00A80508" w:rsidRDefault="00C3000E">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Unit</w:t>
            </w:r>
          </w:p>
        </w:tc>
        <w:tc>
          <w:tcPr>
            <w:tcW w:w="5439" w:type="dxa"/>
          </w:tcPr>
          <w:p w14:paraId="5475FD28" w14:textId="77777777" w:rsidR="00A80508" w:rsidRDefault="00C3000E">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Description</w:t>
            </w:r>
          </w:p>
        </w:tc>
        <w:tc>
          <w:tcPr>
            <w:tcW w:w="1870" w:type="dxa"/>
          </w:tcPr>
          <w:p w14:paraId="4D7DD826" w14:textId="77777777" w:rsidR="00A80508" w:rsidRDefault="00C3000E">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Estimate</w:t>
            </w:r>
          </w:p>
        </w:tc>
      </w:tr>
      <w:tr w:rsidR="00A80508" w14:paraId="408399AE" w14:textId="77777777" w:rsidTr="00A8050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19D3423A" w14:textId="77777777" w:rsidR="00A80508" w:rsidRDefault="005F0A64">
            <w:pPr>
              <w:spacing w:line="276" w:lineRule="auto"/>
              <w:rPr>
                <w:rFonts w:ascii="Arial" w:hAnsi="Arial" w:cs="Arial"/>
                <w:b w:val="0"/>
                <w:bCs w:val="0"/>
                <w:sz w:val="18"/>
                <w:szCs w:val="18"/>
                <w:lang w:val="en-US"/>
              </w:rPr>
            </w:pPr>
            <m:oMath>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g</m:t>
                  </m:r>
                </m:e>
                <m:sub>
                  <m:r>
                    <m:rPr>
                      <m:sty m:val="bi"/>
                    </m:rPr>
                    <w:rPr>
                      <w:rFonts w:ascii="Cambria Math" w:eastAsiaTheme="minorEastAsia" w:hAnsi="Cambria Math" w:cs="Arial"/>
                      <w:sz w:val="18"/>
                      <w:szCs w:val="18"/>
                    </w:rPr>
                    <m:t>ss</m:t>
                  </m:r>
                </m:sub>
              </m:sSub>
            </m:oMath>
            <w:r w:rsidR="00C3000E">
              <w:rPr>
                <w:rFonts w:ascii="Cambria Math" w:eastAsiaTheme="minorEastAsia" w:hAnsi="Cambria Math" w:cs="Arial"/>
                <w:b w:val="0"/>
                <w:bCs w:val="0"/>
                <w:iCs/>
                <w:sz w:val="18"/>
                <w:szCs w:val="18"/>
                <w:vertAlign w:val="superscript"/>
                <w:lang w:val="en-US"/>
              </w:rPr>
              <w:t>a</w:t>
            </w:r>
          </w:p>
        </w:tc>
        <w:tc>
          <w:tcPr>
            <w:tcW w:w="0" w:type="auto"/>
            <w:tcBorders>
              <w:bottom w:val="nil"/>
            </w:tcBorders>
          </w:tcPr>
          <w:p w14:paraId="58A0782C"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letters</w:t>
            </w:r>
          </w:p>
        </w:tc>
        <w:tc>
          <w:tcPr>
            <w:tcW w:w="5439" w:type="dxa"/>
            <w:tcBorders>
              <w:bottom w:val="nil"/>
            </w:tcBorders>
          </w:tcPr>
          <w:p w14:paraId="1F2F064E"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VA steady state under natural progression</w:t>
            </w:r>
          </w:p>
        </w:tc>
        <w:tc>
          <w:tcPr>
            <w:tcW w:w="1870" w:type="dxa"/>
            <w:tcBorders>
              <w:bottom w:val="nil"/>
            </w:tcBorders>
          </w:tcPr>
          <w:p w14:paraId="6A119B66" w14:textId="77777777" w:rsidR="00A80508" w:rsidRDefault="00C3000E">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11</w:t>
            </w:r>
          </w:p>
        </w:tc>
      </w:tr>
      <w:tr w:rsidR="00A80508" w14:paraId="59735954" w14:textId="77777777" w:rsidTr="00A80508">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13AB8B32" w14:textId="77777777" w:rsidR="00A80508" w:rsidRDefault="005F0A64">
            <w:pPr>
              <w:spacing w:line="276" w:lineRule="auto"/>
              <w:rPr>
                <w:rFonts w:ascii="Arial" w:hAnsi="Arial" w:cs="Arial"/>
                <w:b w:val="0"/>
                <w:bCs w:val="0"/>
                <w:sz w:val="18"/>
                <w:szCs w:val="18"/>
                <w:lang w:val="en-US"/>
              </w:rPr>
            </w:pPr>
            <m:oMath>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k</m:t>
                  </m:r>
                </m:e>
                <m:sub>
                  <m:r>
                    <m:rPr>
                      <m:sty m:val="bi"/>
                    </m:rPr>
                    <w:rPr>
                      <w:rFonts w:ascii="Cambria Math" w:eastAsiaTheme="minorEastAsia" w:hAnsi="Cambria Math" w:cs="Arial"/>
                      <w:sz w:val="18"/>
                      <w:szCs w:val="18"/>
                    </w:rPr>
                    <m:t>out</m:t>
                  </m:r>
                </m:sub>
              </m:sSub>
            </m:oMath>
            <w:r w:rsidR="00C3000E">
              <w:rPr>
                <w:rFonts w:ascii="Cambria Math" w:eastAsiaTheme="minorEastAsia" w:hAnsi="Cambria Math" w:cs="Arial"/>
                <w:b w:val="0"/>
                <w:bCs w:val="0"/>
                <w:iCs/>
                <w:sz w:val="18"/>
                <w:szCs w:val="18"/>
                <w:vertAlign w:val="superscript"/>
                <w:lang w:val="en-US"/>
              </w:rPr>
              <w:t>a</w:t>
            </w:r>
          </w:p>
        </w:tc>
        <w:tc>
          <w:tcPr>
            <w:tcW w:w="0" w:type="auto"/>
            <w:tcBorders>
              <w:top w:val="nil"/>
              <w:bottom w:val="nil"/>
            </w:tcBorders>
          </w:tcPr>
          <w:p w14:paraId="3707AE9E"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1/year</w:t>
            </w:r>
          </w:p>
        </w:tc>
        <w:tc>
          <w:tcPr>
            <w:tcW w:w="5439" w:type="dxa"/>
            <w:tcBorders>
              <w:top w:val="nil"/>
              <w:bottom w:val="nil"/>
            </w:tcBorders>
          </w:tcPr>
          <w:p w14:paraId="3CC2B8BE" w14:textId="77777777" w:rsidR="00A80508" w:rsidRDefault="00C3000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VA deterioration rate at natural progression</w:t>
            </w:r>
          </w:p>
        </w:tc>
        <w:tc>
          <w:tcPr>
            <w:tcW w:w="1870" w:type="dxa"/>
            <w:tcBorders>
              <w:top w:val="nil"/>
              <w:bottom w:val="nil"/>
            </w:tcBorders>
          </w:tcPr>
          <w:p w14:paraId="15362698" w14:textId="77777777" w:rsidR="00A80508" w:rsidRDefault="00C3000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 xml:space="preserve">0.19 </w:t>
            </w:r>
          </w:p>
        </w:tc>
      </w:tr>
      <w:tr w:rsidR="00A80508" w14:paraId="3A22FF06" w14:textId="77777777" w:rsidTr="00A8050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3936C9A0" w14:textId="77777777" w:rsidR="00A80508" w:rsidRDefault="005F0A64">
            <w:pPr>
              <w:spacing w:line="276" w:lineRule="auto"/>
              <w:rPr>
                <w:rFonts w:ascii="Arial" w:eastAsia="Calibri" w:hAnsi="Arial" w:cs="Arial"/>
                <w:b w:val="0"/>
                <w:bCs w:val="0"/>
                <w:sz w:val="18"/>
                <w:szCs w:val="18"/>
                <w:lang w:val="en-US"/>
              </w:rPr>
            </w:pPr>
            <m:oMath>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k</m:t>
                  </m:r>
                </m:e>
                <m:sub>
                  <m:r>
                    <m:rPr>
                      <m:sty m:val="bi"/>
                    </m:rPr>
                    <w:rPr>
                      <w:rFonts w:ascii="Cambria Math" w:eastAsiaTheme="minorEastAsia" w:hAnsi="Cambria Math" w:cs="Arial"/>
                      <w:sz w:val="18"/>
                      <w:szCs w:val="18"/>
                      <w:lang w:val="en-US"/>
                    </w:rPr>
                    <m:t>drug</m:t>
                  </m:r>
                </m:sub>
              </m:sSub>
            </m:oMath>
            <w:r w:rsidR="00C3000E">
              <w:rPr>
                <w:rFonts w:ascii="Arial" w:eastAsia="Calibri" w:hAnsi="Arial" w:cs="Arial"/>
                <w:b w:val="0"/>
                <w:bCs w:val="0"/>
                <w:sz w:val="18"/>
                <w:szCs w:val="18"/>
                <w:vertAlign w:val="superscript"/>
                <w:lang w:val="en-US"/>
              </w:rPr>
              <w:t>a</w:t>
            </w:r>
          </w:p>
        </w:tc>
        <w:tc>
          <w:tcPr>
            <w:tcW w:w="0" w:type="auto"/>
            <w:tcBorders>
              <w:top w:val="nil"/>
              <w:bottom w:val="nil"/>
            </w:tcBorders>
          </w:tcPr>
          <w:p w14:paraId="05E1DE5D"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1/day</w:t>
            </w:r>
          </w:p>
        </w:tc>
        <w:tc>
          <w:tcPr>
            <w:tcW w:w="5439" w:type="dxa"/>
            <w:tcBorders>
              <w:top w:val="nil"/>
              <w:bottom w:val="nil"/>
            </w:tcBorders>
          </w:tcPr>
          <w:p w14:paraId="451C4417" w14:textId="77777777" w:rsidR="00A80508" w:rsidRDefault="00C3000E">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Rate constant for drug elimination from the vitreous</w:t>
            </w:r>
          </w:p>
        </w:tc>
        <w:tc>
          <w:tcPr>
            <w:tcW w:w="1870" w:type="dxa"/>
            <w:tcBorders>
              <w:top w:val="nil"/>
              <w:bottom w:val="nil"/>
            </w:tcBorders>
          </w:tcPr>
          <w:p w14:paraId="686D09EF" w14:textId="77777777" w:rsidR="00A80508" w:rsidRDefault="00C3000E">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0.077 (t</w:t>
            </w:r>
            <w:r>
              <w:rPr>
                <w:rFonts w:ascii="Arial" w:hAnsi="Arial" w:cs="Arial"/>
                <w:sz w:val="18"/>
                <w:szCs w:val="18"/>
                <w:vertAlign w:val="subscript"/>
                <w:lang w:val="en-US"/>
              </w:rPr>
              <w:t>1/2</w:t>
            </w:r>
            <w:r>
              <w:rPr>
                <w:rFonts w:ascii="Arial" w:hAnsi="Arial" w:cs="Arial"/>
                <w:sz w:val="18"/>
                <w:szCs w:val="18"/>
                <w:lang w:val="en-US"/>
              </w:rPr>
              <w:t xml:space="preserve"> = 9 days)</w:t>
            </w:r>
          </w:p>
        </w:tc>
      </w:tr>
      <w:tr w:rsidR="00A80508" w14:paraId="3DB114FD" w14:textId="77777777" w:rsidTr="00A80508">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6B9E63EA" w14:textId="77777777" w:rsidR="00A80508" w:rsidRDefault="005F0A64">
            <w:pPr>
              <w:spacing w:line="276" w:lineRule="auto"/>
              <w:rPr>
                <w:rFonts w:ascii="Arial" w:hAnsi="Arial" w:cs="Arial"/>
                <w:b w:val="0"/>
                <w:bCs w:val="0"/>
                <w:sz w:val="18"/>
                <w:szCs w:val="18"/>
                <w:lang w:val="en-US"/>
              </w:rPr>
            </w:pPr>
            <m:oMathPara>
              <m:oMathParaPr>
                <m:jc m:val="left"/>
              </m:oMathParaPr>
              <m:oMath>
                <m:sSubSup>
                  <m:sSubSupPr>
                    <m:ctrlPr>
                      <w:rPr>
                        <w:rFonts w:ascii="Cambria Math" w:eastAsiaTheme="minorEastAsia" w:hAnsi="Cambria Math" w:cs="Arial"/>
                        <w:b w:val="0"/>
                        <w:bCs w:val="0"/>
                        <w:i/>
                        <w:sz w:val="18"/>
                        <w:szCs w:val="18"/>
                        <w:lang w:val="en-US"/>
                      </w:rPr>
                    </m:ctrlPr>
                  </m:sSubSupPr>
                  <m:e>
                    <m:r>
                      <m:rPr>
                        <m:sty m:val="bi"/>
                      </m:rPr>
                      <w:rPr>
                        <w:rFonts w:ascii="Cambria Math" w:eastAsiaTheme="minorEastAsia" w:hAnsi="Cambria Math" w:cs="Arial"/>
                        <w:sz w:val="18"/>
                        <w:szCs w:val="18"/>
                      </w:rPr>
                      <m:t>E</m:t>
                    </m:r>
                  </m:e>
                  <m:sub>
                    <m:r>
                      <m:rPr>
                        <m:sty m:val="bi"/>
                      </m:rPr>
                      <w:rPr>
                        <w:rFonts w:ascii="Cambria Math" w:eastAsiaTheme="minorEastAsia" w:hAnsi="Cambria Math" w:cs="Arial"/>
                        <w:sz w:val="18"/>
                        <w:szCs w:val="18"/>
                      </w:rPr>
                      <m:t>max</m:t>
                    </m:r>
                  </m:sub>
                  <m:sup>
                    <m:r>
                      <m:rPr>
                        <m:sty m:val="bi"/>
                      </m:rPr>
                      <w:rPr>
                        <w:rFonts w:ascii="Cambria Math" w:eastAsiaTheme="minorEastAsia" w:hAnsi="Cambria Math" w:cs="Arial"/>
                        <w:sz w:val="18"/>
                        <w:szCs w:val="18"/>
                      </w:rPr>
                      <m:t>ss</m:t>
                    </m:r>
                  </m:sup>
                </m:sSubSup>
              </m:oMath>
            </m:oMathPara>
          </w:p>
        </w:tc>
        <w:tc>
          <w:tcPr>
            <w:tcW w:w="0" w:type="auto"/>
            <w:tcBorders>
              <w:top w:val="nil"/>
              <w:bottom w:val="nil"/>
            </w:tcBorders>
          </w:tcPr>
          <w:p w14:paraId="366C06F0"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w:t>
            </w:r>
          </w:p>
        </w:tc>
        <w:tc>
          <w:tcPr>
            <w:tcW w:w="5439" w:type="dxa"/>
            <w:tcBorders>
              <w:top w:val="nil"/>
              <w:bottom w:val="nil"/>
            </w:tcBorders>
          </w:tcPr>
          <w:p w14:paraId="6952F3A3"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Steady state maximum drug effect on VA at mean age</w:t>
            </w:r>
          </w:p>
        </w:tc>
        <w:tc>
          <w:tcPr>
            <w:tcW w:w="1870" w:type="dxa"/>
            <w:tcBorders>
              <w:top w:val="nil"/>
              <w:bottom w:val="nil"/>
            </w:tcBorders>
          </w:tcPr>
          <w:p w14:paraId="2E5994E0" w14:textId="77777777" w:rsidR="00A80508" w:rsidRDefault="00C3000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6.1</w:t>
            </w:r>
          </w:p>
        </w:tc>
      </w:tr>
      <w:tr w:rsidR="00A80508" w14:paraId="2BA395BF" w14:textId="77777777" w:rsidTr="00A8050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4D7F0FEA" w14:textId="77777777" w:rsidR="00A80508" w:rsidRDefault="005F0A64">
            <w:pPr>
              <w:spacing w:line="276" w:lineRule="auto"/>
              <w:rPr>
                <w:rFonts w:ascii="Arial" w:hAnsi="Arial" w:cs="Arial"/>
                <w:b w:val="0"/>
                <w:bCs w:val="0"/>
                <w:sz w:val="18"/>
                <w:szCs w:val="18"/>
                <w:lang w:val="en-US"/>
              </w:rPr>
            </w:pPr>
            <m:oMathPara>
              <m:oMathParaPr>
                <m:jc m:val="left"/>
              </m:oMathParaPr>
              <m:oMath>
                <m:sSubSup>
                  <m:sSubSupPr>
                    <m:ctrlPr>
                      <w:rPr>
                        <w:rFonts w:ascii="Cambria Math" w:eastAsiaTheme="minorEastAsia" w:hAnsi="Cambria Math" w:cs="Arial"/>
                        <w:b w:val="0"/>
                        <w:bCs w:val="0"/>
                        <w:i/>
                        <w:sz w:val="18"/>
                        <w:szCs w:val="18"/>
                        <w:lang w:val="en-US"/>
                      </w:rPr>
                    </m:ctrlPr>
                  </m:sSubSupPr>
                  <m:e>
                    <m:r>
                      <m:rPr>
                        <m:sty m:val="bi"/>
                      </m:rPr>
                      <w:rPr>
                        <w:rFonts w:ascii="Cambria Math" w:eastAsiaTheme="minorEastAsia" w:hAnsi="Cambria Math" w:cs="Arial"/>
                        <w:sz w:val="18"/>
                        <w:szCs w:val="18"/>
                        <w:lang w:val="en-US"/>
                      </w:rPr>
                      <m:t>∆</m:t>
                    </m:r>
                    <m:r>
                      <m:rPr>
                        <m:sty m:val="bi"/>
                      </m:rPr>
                      <w:rPr>
                        <w:rFonts w:ascii="Cambria Math" w:eastAsiaTheme="minorEastAsia" w:hAnsi="Cambria Math" w:cs="Arial"/>
                        <w:sz w:val="18"/>
                        <w:szCs w:val="18"/>
                      </w:rPr>
                      <m:t>E</m:t>
                    </m:r>
                  </m:e>
                  <m:sub>
                    <m:r>
                      <m:rPr>
                        <m:sty m:val="bi"/>
                      </m:rPr>
                      <w:rPr>
                        <w:rFonts w:ascii="Cambria Math" w:eastAsiaTheme="minorEastAsia" w:hAnsi="Cambria Math" w:cs="Arial"/>
                        <w:sz w:val="18"/>
                        <w:szCs w:val="18"/>
                      </w:rPr>
                      <m:t>max</m:t>
                    </m:r>
                  </m:sub>
                  <m:sup>
                    <m:r>
                      <m:rPr>
                        <m:sty m:val="bi"/>
                      </m:rPr>
                      <w:rPr>
                        <w:rFonts w:ascii="Cambria Math" w:eastAsiaTheme="minorEastAsia" w:hAnsi="Cambria Math" w:cs="Arial"/>
                        <w:sz w:val="18"/>
                        <w:szCs w:val="18"/>
                        <w:lang w:val="en-US"/>
                      </w:rPr>
                      <m:t>0</m:t>
                    </m:r>
                  </m:sup>
                </m:sSubSup>
              </m:oMath>
            </m:oMathPara>
          </w:p>
        </w:tc>
        <w:tc>
          <w:tcPr>
            <w:tcW w:w="0" w:type="auto"/>
            <w:tcBorders>
              <w:top w:val="nil"/>
              <w:bottom w:val="nil"/>
            </w:tcBorders>
          </w:tcPr>
          <w:p w14:paraId="1E927454"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w:t>
            </w:r>
          </w:p>
        </w:tc>
        <w:tc>
          <w:tcPr>
            <w:tcW w:w="5439" w:type="dxa"/>
            <w:tcBorders>
              <w:top w:val="nil"/>
              <w:bottom w:val="nil"/>
            </w:tcBorders>
          </w:tcPr>
          <w:p w14:paraId="738578B4"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Additional maximum drug effect on VA at baseline</w:t>
            </w:r>
          </w:p>
        </w:tc>
        <w:tc>
          <w:tcPr>
            <w:tcW w:w="1870" w:type="dxa"/>
            <w:tcBorders>
              <w:top w:val="nil"/>
              <w:bottom w:val="nil"/>
            </w:tcBorders>
          </w:tcPr>
          <w:p w14:paraId="62748873" w14:textId="77777777" w:rsidR="00A80508" w:rsidRDefault="00C3000E">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 xml:space="preserve">57.42 </w:t>
            </w:r>
            <w:r>
              <w:rPr>
                <w:rFonts w:ascii="Arial" w:hAnsi="Arial" w:cs="Arial"/>
                <w:sz w:val="18"/>
                <w:szCs w:val="18"/>
                <w:lang w:val="en-US"/>
              </w:rPr>
              <w:br/>
            </w:r>
          </w:p>
        </w:tc>
      </w:tr>
      <w:tr w:rsidR="00A80508" w14:paraId="63FB7027" w14:textId="77777777" w:rsidTr="00A80508">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3DB47E6E" w14:textId="77777777" w:rsidR="00A80508" w:rsidRDefault="005F0A64">
            <w:pPr>
              <w:spacing w:line="276" w:lineRule="auto"/>
              <w:rPr>
                <w:rFonts w:ascii="Arial" w:hAnsi="Arial" w:cs="Arial"/>
                <w:b w:val="0"/>
                <w:bCs w:val="0"/>
                <w:sz w:val="18"/>
                <w:szCs w:val="18"/>
                <w:lang w:val="en-US"/>
              </w:rPr>
            </w:pPr>
            <m:oMath>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k</m:t>
                  </m:r>
                </m:e>
                <m:sub>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E</m:t>
                      </m:r>
                    </m:e>
                    <m:sub>
                      <m:r>
                        <m:rPr>
                          <m:sty m:val="bi"/>
                        </m:rPr>
                        <w:rPr>
                          <w:rFonts w:ascii="Cambria Math" w:eastAsiaTheme="minorEastAsia" w:hAnsi="Cambria Math" w:cs="Arial"/>
                          <w:sz w:val="18"/>
                          <w:szCs w:val="18"/>
                        </w:rPr>
                        <m:t>max</m:t>
                      </m:r>
                    </m:sub>
                  </m:sSub>
                </m:sub>
              </m:sSub>
            </m:oMath>
            <w:r w:rsidR="00C3000E">
              <w:rPr>
                <w:rFonts w:ascii="Arial" w:eastAsiaTheme="minorEastAsia" w:hAnsi="Arial" w:cs="Arial"/>
                <w:b w:val="0"/>
                <w:bCs w:val="0"/>
                <w:sz w:val="18"/>
                <w:szCs w:val="18"/>
                <w:vertAlign w:val="superscript"/>
                <w:lang w:val="en-US"/>
              </w:rPr>
              <w:t>b</w:t>
            </w:r>
          </w:p>
        </w:tc>
        <w:tc>
          <w:tcPr>
            <w:tcW w:w="0" w:type="auto"/>
            <w:tcBorders>
              <w:top w:val="nil"/>
              <w:bottom w:val="nil"/>
            </w:tcBorders>
          </w:tcPr>
          <w:p w14:paraId="506304B9"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1/day</w:t>
            </w:r>
          </w:p>
        </w:tc>
        <w:tc>
          <w:tcPr>
            <w:tcW w:w="5439" w:type="dxa"/>
            <w:tcBorders>
              <w:top w:val="nil"/>
              <w:bottom w:val="nil"/>
            </w:tcBorders>
          </w:tcPr>
          <w:p w14:paraId="01B900FB"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Rate of E</w:t>
            </w:r>
            <w:r>
              <w:rPr>
                <w:rFonts w:ascii="Arial" w:hAnsi="Arial" w:cs="Arial"/>
                <w:sz w:val="18"/>
                <w:szCs w:val="18"/>
                <w:vertAlign w:val="subscript"/>
                <w:lang w:val="en-US"/>
              </w:rPr>
              <w:t>max</w:t>
            </w:r>
            <w:r>
              <w:rPr>
                <w:rFonts w:ascii="Arial" w:hAnsi="Arial" w:cs="Arial"/>
                <w:sz w:val="18"/>
                <w:szCs w:val="18"/>
                <w:lang w:val="en-US"/>
              </w:rPr>
              <w:t xml:space="preserve"> change</w:t>
            </w:r>
          </w:p>
        </w:tc>
        <w:tc>
          <w:tcPr>
            <w:tcW w:w="1870" w:type="dxa"/>
            <w:tcBorders>
              <w:top w:val="nil"/>
              <w:bottom w:val="nil"/>
            </w:tcBorders>
          </w:tcPr>
          <w:p w14:paraId="31675382" w14:textId="77777777" w:rsidR="00A80508" w:rsidRDefault="00C3000E">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0.046 (t</w:t>
            </w:r>
            <w:r>
              <w:rPr>
                <w:rFonts w:ascii="Arial" w:hAnsi="Arial" w:cs="Arial"/>
                <w:sz w:val="18"/>
                <w:szCs w:val="18"/>
                <w:vertAlign w:val="subscript"/>
                <w:lang w:val="en-US"/>
              </w:rPr>
              <w:t>1/2</w:t>
            </w:r>
            <w:r>
              <w:rPr>
                <w:rFonts w:ascii="Arial" w:hAnsi="Arial" w:cs="Arial"/>
                <w:sz w:val="18"/>
                <w:szCs w:val="18"/>
                <w:lang w:val="en-US"/>
              </w:rPr>
              <w:t xml:space="preserve"> = 15 days)</w:t>
            </w:r>
          </w:p>
        </w:tc>
      </w:tr>
      <w:tr w:rsidR="00A80508" w14:paraId="3C3704E7" w14:textId="77777777" w:rsidTr="00A8050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400A756A" w14:textId="77777777" w:rsidR="00A80508" w:rsidRDefault="005F0A64">
            <w:pPr>
              <w:spacing w:line="276" w:lineRule="auto"/>
              <w:rPr>
                <w:rFonts w:ascii="Arial" w:hAnsi="Arial" w:cs="Arial"/>
                <w:b w:val="0"/>
                <w:bCs w:val="0"/>
                <w:sz w:val="18"/>
                <w:szCs w:val="18"/>
                <w:lang w:val="en-US"/>
              </w:rPr>
            </w:pPr>
            <m:oMathPara>
              <m:oMathParaPr>
                <m:jc m:val="left"/>
              </m:oMathParaPr>
              <m:oMath>
                <m:sSub>
                  <m:sSubPr>
                    <m:ctrlPr>
                      <w:rPr>
                        <w:rFonts w:ascii="Cambria Math" w:eastAsiaTheme="minorEastAsia" w:hAnsi="Cambria Math" w:cs="Arial"/>
                        <w:b w:val="0"/>
                        <w:bCs w:val="0"/>
                        <w:i/>
                        <w:sz w:val="18"/>
                        <w:szCs w:val="18"/>
                        <w:lang w:val="en-US"/>
                      </w:rPr>
                    </m:ctrlPr>
                  </m:sSubPr>
                  <m:e>
                    <m:r>
                      <m:rPr>
                        <m:sty m:val="bi"/>
                      </m:rPr>
                      <w:rPr>
                        <w:rFonts w:ascii="Cambria Math" w:eastAsiaTheme="minorEastAsia" w:hAnsi="Cambria Math" w:cs="Arial"/>
                        <w:sz w:val="18"/>
                        <w:szCs w:val="18"/>
                      </w:rPr>
                      <m:t>EC</m:t>
                    </m:r>
                  </m:e>
                  <m:sub>
                    <m:r>
                      <m:rPr>
                        <m:sty m:val="bi"/>
                      </m:rPr>
                      <w:rPr>
                        <w:rFonts w:ascii="Cambria Math" w:eastAsiaTheme="minorEastAsia" w:hAnsi="Cambria Math" w:cs="Arial"/>
                        <w:sz w:val="18"/>
                        <w:szCs w:val="18"/>
                      </w:rPr>
                      <m:t>50</m:t>
                    </m:r>
                  </m:sub>
                </m:sSub>
              </m:oMath>
            </m:oMathPara>
          </w:p>
        </w:tc>
        <w:tc>
          <w:tcPr>
            <w:tcW w:w="0" w:type="auto"/>
            <w:tcBorders>
              <w:top w:val="nil"/>
              <w:bottom w:val="nil"/>
            </w:tcBorders>
          </w:tcPr>
          <w:p w14:paraId="6C4736E7"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µg/L</w:t>
            </w:r>
          </w:p>
        </w:tc>
        <w:tc>
          <w:tcPr>
            <w:tcW w:w="5439" w:type="dxa"/>
            <w:tcBorders>
              <w:top w:val="nil"/>
              <w:bottom w:val="nil"/>
            </w:tcBorders>
          </w:tcPr>
          <w:p w14:paraId="03121C21"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Drug concentration for half of the maximum effect</w:t>
            </w:r>
          </w:p>
        </w:tc>
        <w:tc>
          <w:tcPr>
            <w:tcW w:w="1870" w:type="dxa"/>
            <w:tcBorders>
              <w:top w:val="nil"/>
              <w:bottom w:val="nil"/>
            </w:tcBorders>
          </w:tcPr>
          <w:p w14:paraId="68CDDA27"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1.342</w:t>
            </w:r>
          </w:p>
        </w:tc>
      </w:tr>
      <w:tr w:rsidR="00A80508" w14:paraId="01398512" w14:textId="77777777" w:rsidTr="00A80508">
        <w:trPr>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25C3F0A1" w14:textId="77777777" w:rsidR="00A80508" w:rsidRDefault="00C3000E">
            <w:pPr>
              <w:spacing w:line="276" w:lineRule="auto"/>
              <w:rPr>
                <w:rFonts w:ascii="Arial" w:eastAsia="Calibri" w:hAnsi="Arial" w:cs="Arial"/>
                <w:b w:val="0"/>
                <w:bCs w:val="0"/>
                <w:sz w:val="18"/>
                <w:szCs w:val="18"/>
                <w:lang w:val="en-US"/>
              </w:rPr>
            </w:pPr>
            <m:oMathPara>
              <m:oMathParaPr>
                <m:jc m:val="left"/>
              </m:oMathParaPr>
              <m:oMath>
                <m:r>
                  <m:rPr>
                    <m:sty m:val="bi"/>
                  </m:rPr>
                  <w:rPr>
                    <w:rFonts w:ascii="Cambria Math" w:eastAsiaTheme="minorEastAsia" w:hAnsi="Cambria Math" w:cs="Arial"/>
                    <w:sz w:val="18"/>
                    <w:szCs w:val="18"/>
                  </w:rPr>
                  <m:t>α</m:t>
                </m:r>
              </m:oMath>
            </m:oMathPara>
          </w:p>
        </w:tc>
        <w:tc>
          <w:tcPr>
            <w:tcW w:w="0" w:type="auto"/>
            <w:tcBorders>
              <w:top w:val="nil"/>
              <w:bottom w:val="nil"/>
            </w:tcBorders>
          </w:tcPr>
          <w:p w14:paraId="68F31ABD"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w:t>
            </w:r>
          </w:p>
        </w:tc>
        <w:tc>
          <w:tcPr>
            <w:tcW w:w="5439" w:type="dxa"/>
            <w:tcBorders>
              <w:top w:val="nil"/>
              <w:bottom w:val="nil"/>
            </w:tcBorders>
          </w:tcPr>
          <w:p w14:paraId="5155C516"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eastAsiaTheme="minorEastAsia" w:hAnsi="Arial" w:cs="Arial"/>
                <w:sz w:val="18"/>
                <w:szCs w:val="18"/>
                <w:lang w:val="en-US"/>
              </w:rPr>
              <w:t>Scaling parameter for pre-treatment</w:t>
            </w:r>
          </w:p>
        </w:tc>
        <w:tc>
          <w:tcPr>
            <w:tcW w:w="1870" w:type="dxa"/>
            <w:tcBorders>
              <w:top w:val="nil"/>
              <w:bottom w:val="nil"/>
            </w:tcBorders>
          </w:tcPr>
          <w:p w14:paraId="6276C391" w14:textId="77777777" w:rsidR="00A80508" w:rsidRDefault="00C3000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0.0281</w:t>
            </w:r>
          </w:p>
        </w:tc>
      </w:tr>
      <w:tr w:rsidR="00A80508" w14:paraId="51A27B75" w14:textId="77777777" w:rsidTr="00A8050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tcBorders>
              <w:top w:val="nil"/>
            </w:tcBorders>
          </w:tcPr>
          <w:p w14:paraId="16B2AC87" w14:textId="77777777" w:rsidR="00A80508" w:rsidRDefault="00C3000E">
            <w:pPr>
              <w:spacing w:line="276" w:lineRule="auto"/>
              <w:ind w:left="34" w:firstLine="284"/>
              <w:rPr>
                <w:rFonts w:ascii="Arial" w:hAnsi="Arial" w:cs="Arial"/>
                <w:b w:val="0"/>
                <w:bCs w:val="0"/>
                <w:sz w:val="18"/>
                <w:szCs w:val="18"/>
                <w:lang w:val="en-US"/>
              </w:rPr>
            </w:pPr>
            <m:oMathPara>
              <m:oMathParaPr>
                <m:jc m:val="left"/>
              </m:oMathParaPr>
              <m:oMath>
                <m:r>
                  <m:rPr>
                    <m:sty m:val="bi"/>
                  </m:rPr>
                  <w:rPr>
                    <w:rFonts w:ascii="Cambria Math" w:eastAsiaTheme="minorEastAsia" w:hAnsi="Cambria Math" w:cs="Arial"/>
                    <w:sz w:val="18"/>
                    <w:szCs w:val="18"/>
                  </w:rPr>
                  <m:t>β</m:t>
                </m:r>
              </m:oMath>
            </m:oMathPara>
          </w:p>
        </w:tc>
        <w:tc>
          <w:tcPr>
            <w:tcW w:w="0" w:type="auto"/>
            <w:tcBorders>
              <w:top w:val="nil"/>
            </w:tcBorders>
          </w:tcPr>
          <w:p w14:paraId="5F91783B"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w:t>
            </w:r>
          </w:p>
        </w:tc>
        <w:tc>
          <w:tcPr>
            <w:tcW w:w="5439" w:type="dxa"/>
            <w:tcBorders>
              <w:top w:val="nil"/>
            </w:tcBorders>
          </w:tcPr>
          <w:p w14:paraId="6ABE55D2" w14:textId="77777777" w:rsidR="00A80508" w:rsidRDefault="00C3000E">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 xml:space="preserve">Age effect on </w:t>
            </w:r>
            <m:oMath>
              <m:sSubSup>
                <m:sSubSupPr>
                  <m:ctrlPr>
                    <w:rPr>
                      <w:rFonts w:ascii="Cambria Math" w:eastAsiaTheme="minorEastAsia" w:hAnsi="Cambria Math" w:cs="Arial"/>
                      <w:i/>
                      <w:sz w:val="18"/>
                      <w:szCs w:val="18"/>
                      <w:lang w:val="en-US"/>
                    </w:rPr>
                  </m:ctrlPr>
                </m:sSubSupPr>
                <m:e>
                  <m:r>
                    <w:rPr>
                      <w:rFonts w:ascii="Cambria Math" w:eastAsiaTheme="minorEastAsia" w:hAnsi="Cambria Math" w:cs="Arial"/>
                      <w:sz w:val="18"/>
                      <w:szCs w:val="18"/>
                    </w:rPr>
                    <m:t>E</m:t>
                  </m:r>
                </m:e>
                <m:sub>
                  <m:r>
                    <w:rPr>
                      <w:rFonts w:ascii="Cambria Math" w:eastAsiaTheme="minorEastAsia" w:hAnsi="Cambria Math" w:cs="Arial"/>
                      <w:sz w:val="18"/>
                      <w:szCs w:val="18"/>
                    </w:rPr>
                    <m:t>max</m:t>
                  </m:r>
                </m:sub>
                <m:sup>
                  <m:r>
                    <w:rPr>
                      <w:rFonts w:ascii="Cambria Math" w:eastAsiaTheme="minorEastAsia" w:hAnsi="Cambria Math" w:cs="Arial"/>
                      <w:sz w:val="18"/>
                      <w:szCs w:val="18"/>
                    </w:rPr>
                    <m:t>ss</m:t>
                  </m:r>
                </m:sup>
              </m:sSubSup>
            </m:oMath>
          </w:p>
        </w:tc>
        <w:tc>
          <w:tcPr>
            <w:tcW w:w="1870" w:type="dxa"/>
            <w:tcBorders>
              <w:top w:val="nil"/>
            </w:tcBorders>
          </w:tcPr>
          <w:p w14:paraId="22EF4E7B" w14:textId="77777777" w:rsidR="00A80508" w:rsidRDefault="00C3000E">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US"/>
              </w:rPr>
            </w:pPr>
            <w:r>
              <w:rPr>
                <w:rFonts w:ascii="Arial" w:hAnsi="Arial" w:cs="Arial"/>
                <w:sz w:val="18"/>
                <w:szCs w:val="18"/>
                <w:lang w:val="en-US"/>
              </w:rPr>
              <w:t>-1.5</w:t>
            </w:r>
          </w:p>
        </w:tc>
      </w:tr>
      <w:tr w:rsidR="00A80508" w14:paraId="63226552" w14:textId="77777777" w:rsidTr="00A80508">
        <w:trPr>
          <w:trHeight w:val="340"/>
        </w:trPr>
        <w:tc>
          <w:tcPr>
            <w:cnfStyle w:val="001000000000" w:firstRow="0" w:lastRow="0" w:firstColumn="1" w:lastColumn="0" w:oddVBand="0" w:evenVBand="0" w:oddHBand="0" w:evenHBand="0" w:firstRowFirstColumn="0" w:firstRowLastColumn="0" w:lastRowFirstColumn="0" w:lastRowLastColumn="0"/>
            <w:tcW w:w="9693" w:type="dxa"/>
            <w:gridSpan w:val="4"/>
          </w:tcPr>
          <w:p w14:paraId="616708E0" w14:textId="77777777" w:rsidR="00A80508" w:rsidRDefault="00C3000E">
            <w:pPr>
              <w:spacing w:line="276" w:lineRule="auto"/>
              <w:rPr>
                <w:rFonts w:ascii="Arial" w:eastAsia="Calibri" w:hAnsi="Arial" w:cs="Arial"/>
                <w:bCs w:val="0"/>
                <w:sz w:val="18"/>
                <w:szCs w:val="18"/>
                <w:lang w:val="en-US"/>
              </w:rPr>
            </w:pPr>
            <w:r>
              <w:rPr>
                <w:rFonts w:ascii="Arial" w:eastAsia="Calibri" w:hAnsi="Arial" w:cs="Arial"/>
                <w:b w:val="0"/>
                <w:sz w:val="18"/>
                <w:szCs w:val="18"/>
                <w:vertAlign w:val="superscript"/>
                <w:lang w:val="en-US"/>
              </w:rPr>
              <w:t>a</w:t>
            </w:r>
            <w:r>
              <w:rPr>
                <w:rFonts w:ascii="Arial" w:eastAsia="Calibri" w:hAnsi="Arial" w:cs="Arial"/>
                <w:b w:val="0"/>
                <w:sz w:val="18"/>
                <w:szCs w:val="18"/>
                <w:lang w:val="en-US"/>
              </w:rPr>
              <w:t xml:space="preserve"> From literature; </w:t>
            </w:r>
            <w:r>
              <w:rPr>
                <w:rFonts w:ascii="Arial" w:eastAsia="Calibri" w:hAnsi="Arial" w:cs="Arial"/>
                <w:b w:val="0"/>
                <w:sz w:val="18"/>
                <w:szCs w:val="18"/>
                <w:vertAlign w:val="superscript"/>
                <w:lang w:val="en-US"/>
              </w:rPr>
              <w:t>b</w:t>
            </w:r>
            <w:r>
              <w:rPr>
                <w:rFonts w:ascii="Arial" w:eastAsia="Calibri" w:hAnsi="Arial" w:cs="Arial"/>
                <w:b w:val="0"/>
                <w:sz w:val="18"/>
                <w:szCs w:val="18"/>
                <w:lang w:val="en-US"/>
              </w:rPr>
              <w:t xml:space="preserve"> Pre-specified. All other parameters were estimated by the OCEAN data. </w:t>
            </w:r>
          </w:p>
          <w:p w14:paraId="48CC5D41" w14:textId="77777777" w:rsidR="00A80508" w:rsidRDefault="00C3000E">
            <w:pPr>
              <w:spacing w:line="276" w:lineRule="auto"/>
              <w:rPr>
                <w:rFonts w:ascii="Arial" w:eastAsia="Calibri" w:hAnsi="Arial" w:cs="Arial"/>
                <w:b w:val="0"/>
                <w:sz w:val="18"/>
                <w:szCs w:val="18"/>
                <w:lang w:val="en-US"/>
              </w:rPr>
            </w:pPr>
            <w:r>
              <w:rPr>
                <w:rFonts w:ascii="Arial" w:eastAsia="Calibri" w:hAnsi="Arial" w:cs="Arial"/>
                <w:b w:val="0"/>
                <w:sz w:val="18"/>
                <w:szCs w:val="18"/>
                <w:lang w:val="en-US"/>
              </w:rPr>
              <w:t>VA = visual acuity</w:t>
            </w:r>
          </w:p>
        </w:tc>
      </w:tr>
    </w:tbl>
    <w:p w14:paraId="3995EB68" w14:textId="77777777" w:rsidR="00A80508" w:rsidRDefault="00A80508">
      <w:pPr>
        <w:spacing w:line="276" w:lineRule="auto"/>
        <w:jc w:val="left"/>
        <w:rPr>
          <w:b/>
        </w:rPr>
      </w:pPr>
    </w:p>
    <w:p w14:paraId="4774CED8" w14:textId="77777777" w:rsidR="00A80508" w:rsidRDefault="00A80508">
      <w:pPr>
        <w:spacing w:line="276" w:lineRule="auto"/>
      </w:pPr>
    </w:p>
    <w:p w14:paraId="67301B0B" w14:textId="77777777" w:rsidR="00A80508" w:rsidRDefault="00C3000E">
      <w:pPr>
        <w:spacing w:line="276" w:lineRule="auto"/>
        <w:ind w:left="360"/>
        <w:jc w:val="center"/>
      </w:pPr>
      <w:r>
        <w:rPr>
          <w:noProof/>
          <w:lang w:val="de-DE" w:eastAsia="de-DE"/>
        </w:rPr>
        <w:drawing>
          <wp:inline distT="0" distB="0" distL="0" distR="0" wp14:anchorId="177419C8" wp14:editId="5C0DC09B">
            <wp:extent cx="3239770" cy="2482215"/>
            <wp:effectExtent l="0" t="0" r="0" b="0"/>
            <wp:docPr id="2" name="Picture 4" descr="Project Path: C:\Users\gmeinbe3\OneDrive - Novartis Pharma AG\Projects\RWE\Ocean\01_Analysis of Undertreatment\fitting_alldata\20210504_model_cleaned\09_figures\Treatmentdelay_v02.opju&#10;PE Folder: /Treatmentdelay_v02/R2/&#10;Short Name: R2vsPatnr_fig"/>
            <wp:cNvGraphicFramePr/>
            <a:graphic xmlns:a="http://schemas.openxmlformats.org/drawingml/2006/main">
              <a:graphicData uri="http://schemas.openxmlformats.org/drawingml/2006/picture">
                <pic:pic xmlns:pic="http://schemas.openxmlformats.org/drawingml/2006/picture">
                  <pic:nvPicPr>
                    <pic:cNvPr id="4" name="Picture 4" descr="Project Path: C:\Users\gmeinbe3\OneDrive - Novartis Pharma AG\Projects\RWE\Ocean\01_Analysis of Undertreatment\fitting_alldata\20210504_model_cleaned\09_figures\Treatmentdelay_v02.opju&#10;PE Folder: /Treatmentdelay_v02/R2/&#10;Short Name: R2vsPatnr_fi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9770" cy="2482215"/>
                    </a:xfrm>
                    <a:prstGeom prst="rect">
                      <a:avLst/>
                    </a:prstGeom>
                    <a:noFill/>
                    <a:ln>
                      <a:noFill/>
                    </a:ln>
                  </pic:spPr>
                </pic:pic>
              </a:graphicData>
            </a:graphic>
          </wp:inline>
        </w:drawing>
      </w:r>
    </w:p>
    <w:p w14:paraId="3B8A6863" w14:textId="77777777" w:rsidR="00A80508" w:rsidRDefault="00C3000E">
      <w:pPr>
        <w:spacing w:line="276" w:lineRule="auto"/>
        <w:ind w:left="142"/>
        <w:jc w:val="left"/>
        <w:rPr>
          <w:b/>
          <w:bCs/>
          <w:i/>
          <w:iCs/>
          <w:color w:val="44546A" w:themeColor="text2"/>
          <w:sz w:val="16"/>
          <w:szCs w:val="16"/>
        </w:rPr>
      </w:pPr>
      <w:r>
        <w:rPr>
          <w:b/>
          <w:bCs/>
          <w:i/>
          <w:iCs/>
          <w:color w:val="44546A" w:themeColor="text2"/>
          <w:sz w:val="16"/>
          <w:szCs w:val="16"/>
        </w:rPr>
        <w:t>Supplementary Figure S1 | Adjusted R² as a measure of model goodness of ft for mean BCVA gain predicted by the model vs. observed sample means in dependence of the number of patients in the sample. Samples were randomly drawn from data of the OCEAN study (3,631 patients) without replacement. Black and gray lines are mean and 95% prediction interval, respectively. BCVA = best corrected visual acuity</w:t>
      </w:r>
    </w:p>
    <w:p w14:paraId="47D36D50" w14:textId="77777777" w:rsidR="00A80508" w:rsidRDefault="00A80508">
      <w:pPr>
        <w:spacing w:line="276" w:lineRule="auto"/>
        <w:jc w:val="left"/>
        <w:rPr>
          <w:b/>
        </w:rPr>
      </w:pPr>
    </w:p>
    <w:p w14:paraId="7C86BE9A" w14:textId="77777777" w:rsidR="00B962FE" w:rsidRDefault="00B962FE">
      <w:pPr>
        <w:jc w:val="left"/>
        <w:rPr>
          <w:b/>
        </w:rPr>
      </w:pPr>
      <w:r>
        <w:rPr>
          <w:b/>
        </w:rPr>
        <w:br w:type="page"/>
      </w:r>
    </w:p>
    <w:p w14:paraId="7480CAEC" w14:textId="77777777" w:rsidR="00A80508" w:rsidRDefault="00CC1D33">
      <w:pPr>
        <w:spacing w:line="276" w:lineRule="auto"/>
        <w:ind w:left="142"/>
        <w:jc w:val="center"/>
        <w:rPr>
          <w:b/>
          <w:bCs/>
          <w:i/>
          <w:iCs/>
          <w:color w:val="44546A" w:themeColor="text2"/>
          <w:sz w:val="16"/>
          <w:szCs w:val="16"/>
        </w:rPr>
      </w:pPr>
      <w:r>
        <w:rPr>
          <w:noProof/>
        </w:rPr>
        <w:object w:dxaOrig="5465" w:dyaOrig="4189" w14:anchorId="16A2E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72.35pt;height:207.65pt;mso-width-percent:0;mso-height-percent:0;mso-width-percent:0;mso-height-percent:0" o:ole="">
            <v:imagedata r:id="rId12" o:title=""/>
          </v:shape>
          <o:OLEObject Type="Embed" ProgID="Origin95.Graph" ShapeID="_x0000_i1025" DrawAspect="Content" ObjectID="_1703000886" r:id="rId13"/>
        </w:object>
      </w:r>
      <w:r w:rsidR="00C3000E">
        <w:rPr>
          <w:b/>
          <w:bCs/>
          <w:i/>
          <w:iCs/>
          <w:color w:val="44546A" w:themeColor="text2"/>
          <w:sz w:val="16"/>
          <w:szCs w:val="16"/>
        </w:rPr>
        <w:t xml:space="preserve"> </w:t>
      </w:r>
    </w:p>
    <w:p w14:paraId="0BF5A63D" w14:textId="1B58EECE" w:rsidR="00A80508" w:rsidRDefault="00C3000E">
      <w:pPr>
        <w:spacing w:line="276" w:lineRule="auto"/>
        <w:ind w:left="142"/>
        <w:jc w:val="left"/>
        <w:rPr>
          <w:b/>
          <w:bCs/>
          <w:i/>
          <w:iCs/>
          <w:color w:val="44546A" w:themeColor="text2"/>
          <w:sz w:val="16"/>
          <w:szCs w:val="16"/>
        </w:rPr>
      </w:pPr>
      <w:r>
        <w:rPr>
          <w:b/>
          <w:bCs/>
          <w:i/>
          <w:iCs/>
          <w:color w:val="44546A" w:themeColor="text2"/>
          <w:sz w:val="16"/>
          <w:szCs w:val="16"/>
        </w:rPr>
        <w:t xml:space="preserve">Supplementary Figure S2 | </w:t>
      </w:r>
      <w:r w:rsidR="00F95270">
        <w:rPr>
          <w:b/>
          <w:bCs/>
          <w:i/>
          <w:iCs/>
          <w:color w:val="44546A" w:themeColor="text2"/>
          <w:sz w:val="16"/>
          <w:szCs w:val="16"/>
        </w:rPr>
        <w:t xml:space="preserve">Mean </w:t>
      </w:r>
      <w:r>
        <w:rPr>
          <w:b/>
          <w:bCs/>
          <w:i/>
          <w:iCs/>
          <w:color w:val="44546A" w:themeColor="text2"/>
          <w:sz w:val="16"/>
          <w:szCs w:val="16"/>
        </w:rPr>
        <w:t>BCVA change from baseline after 12 months of 0.5 mg monthly ranibizumab treatment as a function of patient’s baseline BCVA.</w:t>
      </w:r>
      <w:r w:rsidR="000E61F6">
        <w:rPr>
          <w:b/>
          <w:bCs/>
          <w:i/>
          <w:iCs/>
          <w:color w:val="44546A" w:themeColor="text2"/>
          <w:sz w:val="16"/>
          <w:szCs w:val="16"/>
        </w:rPr>
        <w:t xml:space="preserve"> </w:t>
      </w:r>
      <w:r w:rsidR="000E61F6" w:rsidRPr="004F2C9F">
        <w:rPr>
          <w:b/>
          <w:bCs/>
          <w:i/>
          <w:iCs/>
          <w:color w:val="44546A" w:themeColor="text2"/>
          <w:sz w:val="16"/>
          <w:szCs w:val="16"/>
        </w:rPr>
        <w:t xml:space="preserve">Shaded area represents </w:t>
      </w:r>
      <w:r w:rsidR="00F95270" w:rsidRPr="004F2C9F">
        <w:rPr>
          <w:b/>
          <w:bCs/>
          <w:i/>
          <w:iCs/>
          <w:color w:val="44546A" w:themeColor="text2"/>
          <w:sz w:val="16"/>
          <w:szCs w:val="16"/>
        </w:rPr>
        <w:t xml:space="preserve">+/- one </w:t>
      </w:r>
      <w:r w:rsidR="000E61F6" w:rsidRPr="004F2C9F">
        <w:rPr>
          <w:b/>
          <w:bCs/>
          <w:i/>
          <w:iCs/>
          <w:color w:val="44546A" w:themeColor="text2"/>
          <w:sz w:val="16"/>
          <w:szCs w:val="16"/>
        </w:rPr>
        <w:t>standard deviation.</w:t>
      </w:r>
      <w:r w:rsidR="00B37EF5" w:rsidRPr="004F2C9F">
        <w:rPr>
          <w:b/>
          <w:bCs/>
          <w:i/>
          <w:iCs/>
          <w:color w:val="44546A" w:themeColor="text2"/>
          <w:sz w:val="16"/>
          <w:szCs w:val="16"/>
        </w:rPr>
        <w:t xml:space="preserve"> Age at baseline was drawn from normal distribution with mean (standard deviation) of 77.8</w:t>
      </w:r>
      <w:r w:rsidR="003672EC" w:rsidRPr="004F2C9F">
        <w:rPr>
          <w:b/>
          <w:bCs/>
          <w:i/>
          <w:iCs/>
          <w:color w:val="44546A" w:themeColor="text2"/>
          <w:sz w:val="16"/>
          <w:szCs w:val="16"/>
        </w:rPr>
        <w:t xml:space="preserve"> (8.2)</w:t>
      </w:r>
      <w:r w:rsidR="00B37EF5" w:rsidRPr="004F2C9F">
        <w:rPr>
          <w:b/>
          <w:bCs/>
          <w:i/>
          <w:iCs/>
          <w:color w:val="44546A" w:themeColor="text2"/>
          <w:sz w:val="16"/>
          <w:szCs w:val="16"/>
        </w:rPr>
        <w:t xml:space="preserve"> years.</w:t>
      </w:r>
      <w:r w:rsidRPr="004F2C9F">
        <w:rPr>
          <w:b/>
          <w:bCs/>
          <w:i/>
          <w:iCs/>
          <w:color w:val="44546A" w:themeColor="text2"/>
          <w:sz w:val="16"/>
          <w:szCs w:val="16"/>
        </w:rPr>
        <w:t xml:space="preserve"> </w:t>
      </w:r>
      <w:r>
        <w:rPr>
          <w:b/>
          <w:bCs/>
          <w:i/>
          <w:iCs/>
          <w:color w:val="44546A" w:themeColor="text2"/>
          <w:sz w:val="16"/>
          <w:szCs w:val="16"/>
        </w:rPr>
        <w:t>BCVA = best corrected visual acuity</w:t>
      </w:r>
    </w:p>
    <w:p w14:paraId="69F73837" w14:textId="77777777" w:rsidR="00A80508" w:rsidRDefault="00C3000E">
      <w:pPr>
        <w:spacing w:line="276" w:lineRule="auto"/>
        <w:jc w:val="center"/>
        <w:rPr>
          <w:i/>
          <w:iCs/>
          <w:color w:val="FF0000"/>
        </w:rPr>
      </w:pPr>
      <w:r>
        <w:rPr>
          <w:noProof/>
        </w:rPr>
        <w:drawing>
          <wp:inline distT="0" distB="0" distL="0" distR="0" wp14:anchorId="02A86557" wp14:editId="11445FD9">
            <wp:extent cx="3467100" cy="2657475"/>
            <wp:effectExtent l="0" t="0" r="0" b="0"/>
            <wp:docPr id="3" name="Picture 3" descr="Project Path: C:\Users\gmeinbe3\OneDrive - Novartis Pharma AG\Projects\RWE\Ocean\01_Analysis of Undertreatment\fitting_alldata\20210504_model_cleaned\09_figures\20210828_Treatmentdelay_v03.opju&#10;PE Folder: /20210828_Treatmentdelay_v03/BL_VA/&#10;Short Name: Age_VA_fig"/>
            <wp:cNvGraphicFramePr/>
            <a:graphic xmlns:a="http://schemas.openxmlformats.org/drawingml/2006/main">
              <a:graphicData uri="http://schemas.openxmlformats.org/drawingml/2006/picture">
                <pic:pic xmlns:pic="http://schemas.openxmlformats.org/drawingml/2006/picture">
                  <pic:nvPicPr>
                    <pic:cNvPr id="1" name="Picture 1" descr="Project Path: C:\Users\gmeinbe3\OneDrive - Novartis Pharma AG\Projects\RWE\Ocean\01_Analysis of Undertreatment\fitting_alldata\20210504_model_cleaned\09_figures\20210828_Treatmentdelay_v03.opju&#10;PE Folder: /20210828_Treatmentdelay_v03/BL_VA/&#10;Short Name: Age_VA_fi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67100" cy="2657475"/>
                    </a:xfrm>
                    <a:prstGeom prst="rect">
                      <a:avLst/>
                    </a:prstGeom>
                    <a:noFill/>
                    <a:ln>
                      <a:noFill/>
                    </a:ln>
                  </pic:spPr>
                </pic:pic>
              </a:graphicData>
            </a:graphic>
          </wp:inline>
        </w:drawing>
      </w:r>
    </w:p>
    <w:p w14:paraId="4C348FD0" w14:textId="78C074A3" w:rsidR="00A80508" w:rsidRDefault="00C3000E">
      <w:pPr>
        <w:spacing w:line="276" w:lineRule="auto"/>
        <w:jc w:val="left"/>
        <w:rPr>
          <w:b/>
          <w:bCs/>
          <w:i/>
          <w:iCs/>
          <w:color w:val="44546A" w:themeColor="text2"/>
          <w:sz w:val="16"/>
          <w:szCs w:val="16"/>
        </w:rPr>
      </w:pPr>
      <w:r>
        <w:rPr>
          <w:b/>
          <w:bCs/>
          <w:i/>
          <w:iCs/>
          <w:color w:val="44546A" w:themeColor="text2"/>
          <w:sz w:val="16"/>
          <w:szCs w:val="16"/>
        </w:rPr>
        <w:t xml:space="preserve">Supplementary Figure S3 | </w:t>
      </w:r>
      <w:r w:rsidR="00F95270">
        <w:rPr>
          <w:b/>
          <w:bCs/>
          <w:i/>
          <w:iCs/>
          <w:color w:val="44546A" w:themeColor="text2"/>
          <w:sz w:val="16"/>
          <w:szCs w:val="16"/>
        </w:rPr>
        <w:t xml:space="preserve">Mean </w:t>
      </w:r>
      <w:r>
        <w:rPr>
          <w:b/>
          <w:bCs/>
          <w:i/>
          <w:iCs/>
          <w:color w:val="44546A" w:themeColor="text2"/>
          <w:sz w:val="16"/>
          <w:szCs w:val="16"/>
        </w:rPr>
        <w:t>BCVA change from baseline after 12 months of 0.5 mg monthly ranibizumab treatment as a function of patient’s age.</w:t>
      </w:r>
      <w:r w:rsidR="00BA39DD">
        <w:rPr>
          <w:b/>
          <w:bCs/>
          <w:i/>
          <w:iCs/>
          <w:color w:val="44546A" w:themeColor="text2"/>
          <w:sz w:val="16"/>
          <w:szCs w:val="16"/>
        </w:rPr>
        <w:t xml:space="preserve"> </w:t>
      </w:r>
      <w:r w:rsidR="000753A0" w:rsidRPr="004F2C9F">
        <w:rPr>
          <w:b/>
          <w:bCs/>
          <w:i/>
          <w:iCs/>
          <w:color w:val="44546A" w:themeColor="text2"/>
          <w:sz w:val="16"/>
          <w:szCs w:val="16"/>
        </w:rPr>
        <w:t xml:space="preserve">Shaded area represents +/- one standard deviation. </w:t>
      </w:r>
      <w:r w:rsidR="00BA39DD" w:rsidRPr="004F2C9F">
        <w:rPr>
          <w:b/>
          <w:bCs/>
          <w:i/>
          <w:iCs/>
          <w:color w:val="44546A" w:themeColor="text2"/>
          <w:sz w:val="16"/>
          <w:szCs w:val="16"/>
        </w:rPr>
        <w:t>BCVA at baseline was drawn from normal distribution with mean (standard deviation) of 52.1 (21.3) ETDRS Letters.</w:t>
      </w:r>
      <w:r>
        <w:rPr>
          <w:b/>
          <w:bCs/>
          <w:i/>
          <w:iCs/>
          <w:color w:val="44546A" w:themeColor="text2"/>
          <w:sz w:val="16"/>
          <w:szCs w:val="16"/>
        </w:rPr>
        <w:t xml:space="preserve"> BCVA = best corrected visual acuity</w:t>
      </w:r>
    </w:p>
    <w:p w14:paraId="1B1880C3" w14:textId="164455E2" w:rsidR="00B02403" w:rsidRDefault="00624FF1" w:rsidP="00B02403">
      <w:pPr>
        <w:keepNext/>
        <w:spacing w:line="276" w:lineRule="auto"/>
        <w:jc w:val="center"/>
      </w:pPr>
      <w:r>
        <w:rPr>
          <w:noProof/>
        </w:rPr>
        <w:lastRenderedPageBreak/>
        <w:drawing>
          <wp:inline distT="0" distB="0" distL="0" distR="0" wp14:anchorId="1DC01AD0" wp14:editId="67AE6529">
            <wp:extent cx="3466800" cy="2658288"/>
            <wp:effectExtent l="0" t="0" r="0" b="0"/>
            <wp:docPr id="15" name="Picture 15" descr="Project Path: C:\Users\gmeinbe3\OneDrive - Novartis Pharma AG\Projects\RWE\Ocean\01_Analysis of Undertreatment\fitting_alldata\20210504_model_cleaned\09_figures\20211225_Treatmentdelay_v04.opju&#10;PE Folder: /20211225_Treatmentdelay_v04/Natural Disease progression/&#10;Short Name: MarinaNatural_pl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Project Path: C:\Users\gmeinbe3\OneDrive - Novartis Pharma AG\Projects\RWE\Ocean\01_Analysis of Undertreatment\fitting_alldata\20210504_model_cleaned\09_figures\20211225_Treatmentdelay_v04.opju&#10;PE Folder: /20211225_Treatmentdelay_v04/Natural Disease progression/&#10;Short Name: MarinaNatural_plot"/>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6800" cy="2658288"/>
                    </a:xfrm>
                    <a:prstGeom prst="rect">
                      <a:avLst/>
                    </a:prstGeom>
                    <a:noFill/>
                    <a:ln>
                      <a:noFill/>
                    </a:ln>
                  </pic:spPr>
                </pic:pic>
              </a:graphicData>
            </a:graphic>
          </wp:inline>
        </w:drawing>
      </w:r>
      <w:r w:rsidRPr="00BC4C5D">
        <w:rPr>
          <w:noProof/>
        </w:rPr>
        <w:t xml:space="preserve"> </w:t>
      </w:r>
    </w:p>
    <w:p w14:paraId="23939718" w14:textId="14057D95" w:rsidR="00B02403" w:rsidRPr="004F2C9F" w:rsidRDefault="00B02403" w:rsidP="00B02403">
      <w:pPr>
        <w:spacing w:line="276" w:lineRule="auto"/>
        <w:jc w:val="left"/>
        <w:rPr>
          <w:b/>
          <w:bCs/>
          <w:i/>
          <w:iCs/>
          <w:color w:val="44546A" w:themeColor="text2"/>
          <w:sz w:val="16"/>
          <w:szCs w:val="16"/>
        </w:rPr>
      </w:pPr>
      <w:bookmarkStart w:id="0" w:name="_Hlk91412330"/>
      <w:r w:rsidRPr="004F2C9F">
        <w:rPr>
          <w:b/>
          <w:bCs/>
          <w:i/>
          <w:iCs/>
          <w:color w:val="44546A" w:themeColor="text2"/>
          <w:sz w:val="16"/>
          <w:szCs w:val="16"/>
        </w:rPr>
        <w:t xml:space="preserve">Supplementary Figure S4 </w:t>
      </w:r>
      <w:bookmarkEnd w:id="0"/>
      <w:r w:rsidRPr="004F2C9F">
        <w:rPr>
          <w:b/>
          <w:bCs/>
          <w:i/>
          <w:iCs/>
          <w:color w:val="44546A" w:themeColor="text2"/>
          <w:sz w:val="16"/>
          <w:szCs w:val="16"/>
        </w:rPr>
        <w:t xml:space="preserve">| Mean BCVA change from baseline in absence of treatment: </w:t>
      </w:r>
      <w:r w:rsidR="0000036E" w:rsidRPr="004F2C9F">
        <w:rPr>
          <w:b/>
          <w:bCs/>
          <w:i/>
          <w:iCs/>
          <w:color w:val="44546A" w:themeColor="text2"/>
          <w:sz w:val="16"/>
          <w:szCs w:val="16"/>
        </w:rPr>
        <w:t>MARINA RCT sham group</w:t>
      </w:r>
      <w:r w:rsidR="00624FF1" w:rsidRPr="004F2C9F">
        <w:rPr>
          <w:b/>
          <w:bCs/>
          <w:i/>
          <w:iCs/>
          <w:color w:val="44546A" w:themeColor="text2"/>
          <w:sz w:val="16"/>
          <w:szCs w:val="16"/>
        </w:rPr>
        <w:t xml:space="preserve"> with 95% confidence interval</w:t>
      </w:r>
      <w:r w:rsidR="000753A0" w:rsidRPr="004F2C9F">
        <w:rPr>
          <w:b/>
          <w:bCs/>
          <w:i/>
          <w:iCs/>
          <w:color w:val="44546A" w:themeColor="text2"/>
          <w:sz w:val="16"/>
          <w:szCs w:val="16"/>
        </w:rPr>
        <w:t xml:space="preserve"> (blue)</w:t>
      </w:r>
      <w:r w:rsidR="0000036E" w:rsidRPr="004F2C9F">
        <w:rPr>
          <w:b/>
          <w:bCs/>
          <w:i/>
          <w:iCs/>
          <w:color w:val="44546A" w:themeColor="text2"/>
          <w:sz w:val="16"/>
          <w:szCs w:val="16"/>
        </w:rPr>
        <w:t xml:space="preserve"> and model prediction</w:t>
      </w:r>
      <w:r w:rsidR="00624FF1" w:rsidRPr="004F2C9F">
        <w:rPr>
          <w:b/>
          <w:bCs/>
          <w:i/>
          <w:iCs/>
          <w:color w:val="44546A" w:themeColor="text2"/>
          <w:sz w:val="16"/>
          <w:szCs w:val="16"/>
        </w:rPr>
        <w:t xml:space="preserve"> with 95% prediction interval</w:t>
      </w:r>
      <w:r w:rsidR="0000036E" w:rsidRPr="004F2C9F">
        <w:rPr>
          <w:b/>
          <w:bCs/>
          <w:i/>
          <w:iCs/>
          <w:color w:val="44546A" w:themeColor="text2"/>
          <w:sz w:val="16"/>
          <w:szCs w:val="16"/>
        </w:rPr>
        <w:t xml:space="preserve"> (red).</w:t>
      </w:r>
      <w:r w:rsidR="005F0A64" w:rsidRPr="005F0A64">
        <w:rPr>
          <w:b/>
          <w:bCs/>
          <w:i/>
          <w:iCs/>
          <w:color w:val="44546A" w:themeColor="text2"/>
          <w:sz w:val="16"/>
          <w:szCs w:val="16"/>
        </w:rPr>
        <w:t xml:space="preserve"> </w:t>
      </w:r>
      <w:r w:rsidR="005F0A64">
        <w:rPr>
          <w:b/>
          <w:bCs/>
          <w:i/>
          <w:iCs/>
          <w:color w:val="44546A" w:themeColor="text2"/>
          <w:sz w:val="16"/>
          <w:szCs w:val="16"/>
        </w:rPr>
        <w:t>BCVA = best corrected visual acuity</w:t>
      </w:r>
    </w:p>
    <w:p w14:paraId="75F8DC0B" w14:textId="14A1F07D" w:rsidR="00B02403" w:rsidRDefault="00B02403" w:rsidP="00B02403">
      <w:pPr>
        <w:pStyle w:val="Caption"/>
        <w:jc w:val="center"/>
        <w:rPr>
          <w:i w:val="0"/>
          <w:iCs w:val="0"/>
          <w:color w:val="FF0000"/>
        </w:rPr>
      </w:pPr>
    </w:p>
    <w:sectPr w:rsidR="00B02403" w:rsidSect="00B962FE">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099410" w14:textId="77777777" w:rsidR="00E1701A" w:rsidRDefault="00E1701A">
      <w:pPr>
        <w:spacing w:after="0" w:line="240" w:lineRule="auto"/>
      </w:pPr>
      <w:r>
        <w:separator/>
      </w:r>
    </w:p>
  </w:endnote>
  <w:endnote w:type="continuationSeparator" w:id="0">
    <w:p w14:paraId="2EEA70D6" w14:textId="77777777" w:rsidR="00E1701A" w:rsidRDefault="00E1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55612" w14:textId="77777777" w:rsidR="00C3000E" w:rsidRDefault="00C3000E">
    <w:pPr>
      <w:pStyle w:val="Footer"/>
    </w:pPr>
    <w:r>
      <w:tab/>
    </w:r>
    <w:r>
      <w:tab/>
      <w:t xml:space="preserve">Page </w:t>
    </w:r>
    <w:r>
      <w:fldChar w:fldCharType="begin"/>
    </w:r>
    <w:r>
      <w:instrText xml:space="preserve"> PAGE   \* MERGEFORMAT </w:instrText>
    </w:r>
    <w:r>
      <w:fldChar w:fldCharType="separate"/>
    </w:r>
    <w:r>
      <w:rPr>
        <w:noProof/>
      </w:rPr>
      <w:t>17</w:t>
    </w:r>
    <w:r>
      <w:fldChar w:fldCharType="end"/>
    </w:r>
    <w:r>
      <w:t xml:space="preserve"> of </w:t>
    </w:r>
    <w:fldSimple w:instr=" NUMPAGES   \* MERGEFORMAT ">
      <w:r>
        <w:rPr>
          <w:noProof/>
        </w:rPr>
        <w:t>21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A8182E" w14:textId="77777777" w:rsidR="00E1701A" w:rsidRDefault="00E1701A">
      <w:pPr>
        <w:spacing w:after="0" w:line="240" w:lineRule="auto"/>
      </w:pPr>
      <w:r>
        <w:separator/>
      </w:r>
    </w:p>
  </w:footnote>
  <w:footnote w:type="continuationSeparator" w:id="0">
    <w:p w14:paraId="7DF53CB7" w14:textId="77777777" w:rsidR="00E1701A" w:rsidRDefault="00E1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750AA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B1A97"/>
    <w:multiLevelType w:val="multilevel"/>
    <w:tmpl w:val="73E2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84FDD"/>
    <w:multiLevelType w:val="hybridMultilevel"/>
    <w:tmpl w:val="16AE6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D0A40"/>
    <w:multiLevelType w:val="hybridMultilevel"/>
    <w:tmpl w:val="1DE41CFC"/>
    <w:lvl w:ilvl="0" w:tplc="0A68B91E">
      <w:start w:val="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E45610"/>
    <w:multiLevelType w:val="hybridMultilevel"/>
    <w:tmpl w:val="CCEE5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3F0DCE"/>
    <w:multiLevelType w:val="hybridMultilevel"/>
    <w:tmpl w:val="9658161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A13CA2"/>
    <w:multiLevelType w:val="hybridMultilevel"/>
    <w:tmpl w:val="C7AED2D8"/>
    <w:lvl w:ilvl="0" w:tplc="971C7E36">
      <w:start w:val="1"/>
      <w:numFmt w:val="bullet"/>
      <w:lvlText w:val=""/>
      <w:lvlJc w:val="left"/>
      <w:pPr>
        <w:ind w:left="720" w:hanging="360"/>
      </w:pPr>
      <w:rPr>
        <w:rFonts w:ascii="Wingdings" w:eastAsiaTheme="minorHAns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D557CD"/>
    <w:multiLevelType w:val="hybridMultilevel"/>
    <w:tmpl w:val="FAA880A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20AC1D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603E8E"/>
    <w:multiLevelType w:val="hybridMultilevel"/>
    <w:tmpl w:val="39C6F124"/>
    <w:lvl w:ilvl="0" w:tplc="794E0AEC">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110209"/>
    <w:multiLevelType w:val="hybridMultilevel"/>
    <w:tmpl w:val="87705F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341D79"/>
    <w:multiLevelType w:val="hybridMultilevel"/>
    <w:tmpl w:val="D996EBC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CA17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8A4D90"/>
    <w:multiLevelType w:val="hybridMultilevel"/>
    <w:tmpl w:val="98440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364A52"/>
    <w:multiLevelType w:val="hybridMultilevel"/>
    <w:tmpl w:val="DEDE9A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C531BC4"/>
    <w:multiLevelType w:val="hybridMultilevel"/>
    <w:tmpl w:val="E49CD45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DEB4A48"/>
    <w:multiLevelType w:val="hybridMultilevel"/>
    <w:tmpl w:val="0B225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F3267"/>
    <w:multiLevelType w:val="hybridMultilevel"/>
    <w:tmpl w:val="2B1C27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42282E"/>
    <w:multiLevelType w:val="hybridMultilevel"/>
    <w:tmpl w:val="1910C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3419F1"/>
    <w:multiLevelType w:val="hybridMultilevel"/>
    <w:tmpl w:val="E488CC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43EE43A9"/>
    <w:multiLevelType w:val="hybridMultilevel"/>
    <w:tmpl w:val="59A6BB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176999"/>
    <w:multiLevelType w:val="hybridMultilevel"/>
    <w:tmpl w:val="C21AF80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FF5E8B"/>
    <w:multiLevelType w:val="hybridMultilevel"/>
    <w:tmpl w:val="CF78B5E2"/>
    <w:lvl w:ilvl="0" w:tplc="3D14B73A">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A13DCB"/>
    <w:multiLevelType w:val="hybridMultilevel"/>
    <w:tmpl w:val="C42A0D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8146C61"/>
    <w:multiLevelType w:val="hybridMultilevel"/>
    <w:tmpl w:val="87CC3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43017E"/>
    <w:multiLevelType w:val="hybridMultilevel"/>
    <w:tmpl w:val="F8B85C5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49F90A5F"/>
    <w:multiLevelType w:val="hybridMultilevel"/>
    <w:tmpl w:val="9C700DA0"/>
    <w:lvl w:ilvl="0" w:tplc="0032DC1C">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171179"/>
    <w:multiLevelType w:val="hybridMultilevel"/>
    <w:tmpl w:val="03C84F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3C3300"/>
    <w:multiLevelType w:val="hybridMultilevel"/>
    <w:tmpl w:val="908CB914"/>
    <w:lvl w:ilvl="0" w:tplc="194A9076">
      <w:numFmt w:val="bullet"/>
      <w:lvlText w:val=""/>
      <w:lvlJc w:val="left"/>
      <w:pPr>
        <w:ind w:left="720" w:hanging="360"/>
      </w:pPr>
      <w:rPr>
        <w:rFonts w:ascii="Symbol" w:eastAsiaTheme="minorHAnsi" w:hAnsi="Symbol" w:cs="Arial" w:hint="default"/>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4D784717"/>
    <w:multiLevelType w:val="hybridMultilevel"/>
    <w:tmpl w:val="93AE21FE"/>
    <w:lvl w:ilvl="0" w:tplc="A432B4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ED2045B"/>
    <w:multiLevelType w:val="multilevel"/>
    <w:tmpl w:val="B12C59B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AD0A42"/>
    <w:multiLevelType w:val="hybridMultilevel"/>
    <w:tmpl w:val="FDB2335C"/>
    <w:lvl w:ilvl="0" w:tplc="46ACB2CE">
      <w:start w:val="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6C1BAD"/>
    <w:multiLevelType w:val="hybridMultilevel"/>
    <w:tmpl w:val="DF5A0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0FF2F7E"/>
    <w:multiLevelType w:val="hybridMultilevel"/>
    <w:tmpl w:val="10921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046E8A"/>
    <w:multiLevelType w:val="hybridMultilevel"/>
    <w:tmpl w:val="FAAC240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F1710C"/>
    <w:multiLevelType w:val="hybridMultilevel"/>
    <w:tmpl w:val="6AE66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1D5312"/>
    <w:multiLevelType w:val="hybridMultilevel"/>
    <w:tmpl w:val="B27EFBE4"/>
    <w:lvl w:ilvl="0" w:tplc="1624B4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E67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841CB1"/>
    <w:multiLevelType w:val="hybridMultilevel"/>
    <w:tmpl w:val="240C6D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D905F71"/>
    <w:multiLevelType w:val="hybridMultilevel"/>
    <w:tmpl w:val="3BE88068"/>
    <w:lvl w:ilvl="0" w:tplc="971C7E36">
      <w:start w:val="1"/>
      <w:numFmt w:val="bullet"/>
      <w:lvlText w:val=""/>
      <w:lvlJc w:val="left"/>
      <w:pPr>
        <w:ind w:left="720" w:hanging="360"/>
      </w:pPr>
      <w:rPr>
        <w:rFonts w:ascii="Wingdings" w:eastAsiaTheme="minorHAns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B97322"/>
    <w:multiLevelType w:val="hybridMultilevel"/>
    <w:tmpl w:val="73D41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6"/>
  </w:num>
  <w:num w:numId="2">
    <w:abstractNumId w:val="3"/>
  </w:num>
  <w:num w:numId="3">
    <w:abstractNumId w:val="31"/>
  </w:num>
  <w:num w:numId="4">
    <w:abstractNumId w:val="27"/>
  </w:num>
  <w:num w:numId="5">
    <w:abstractNumId w:val="40"/>
  </w:num>
  <w:num w:numId="6">
    <w:abstractNumId w:val="13"/>
  </w:num>
  <w:num w:numId="7">
    <w:abstractNumId w:val="4"/>
  </w:num>
  <w:num w:numId="8">
    <w:abstractNumId w:val="20"/>
  </w:num>
  <w:num w:numId="9">
    <w:abstractNumId w:val="22"/>
  </w:num>
  <w:num w:numId="10">
    <w:abstractNumId w:val="33"/>
  </w:num>
  <w:num w:numId="11">
    <w:abstractNumId w:val="30"/>
  </w:num>
  <w:num w:numId="12">
    <w:abstractNumId w:val="28"/>
  </w:num>
  <w:num w:numId="13">
    <w:abstractNumId w:val="25"/>
  </w:num>
  <w:num w:numId="14">
    <w:abstractNumId w:val="11"/>
  </w:num>
  <w:num w:numId="15">
    <w:abstractNumId w:val="21"/>
  </w:num>
  <w:num w:numId="16">
    <w:abstractNumId w:val="38"/>
  </w:num>
  <w:num w:numId="17">
    <w:abstractNumId w:val="15"/>
  </w:num>
  <w:num w:numId="18">
    <w:abstractNumId w:val="5"/>
  </w:num>
  <w:num w:numId="19">
    <w:abstractNumId w:val="39"/>
  </w:num>
  <w:num w:numId="20">
    <w:abstractNumId w:val="6"/>
  </w:num>
  <w:num w:numId="21">
    <w:abstractNumId w:val="29"/>
  </w:num>
  <w:num w:numId="22">
    <w:abstractNumId w:val="10"/>
  </w:num>
  <w:num w:numId="23">
    <w:abstractNumId w:val="23"/>
  </w:num>
  <w:num w:numId="24">
    <w:abstractNumId w:val="19"/>
  </w:num>
  <w:num w:numId="25">
    <w:abstractNumId w:val="7"/>
  </w:num>
  <w:num w:numId="26">
    <w:abstractNumId w:val="9"/>
  </w:num>
  <w:num w:numId="27">
    <w:abstractNumId w:val="34"/>
  </w:num>
  <w:num w:numId="28">
    <w:abstractNumId w:val="18"/>
  </w:num>
  <w:num w:numId="29">
    <w:abstractNumId w:val="16"/>
  </w:num>
  <w:num w:numId="30">
    <w:abstractNumId w:val="2"/>
  </w:num>
  <w:num w:numId="31">
    <w:abstractNumId w:val="26"/>
  </w:num>
  <w:num w:numId="32">
    <w:abstractNumId w:val="32"/>
  </w:num>
  <w:num w:numId="33">
    <w:abstractNumId w:val="37"/>
  </w:num>
  <w:num w:numId="34">
    <w:abstractNumId w:val="35"/>
  </w:num>
  <w:num w:numId="35">
    <w:abstractNumId w:val="14"/>
  </w:num>
  <w:num w:numId="36">
    <w:abstractNumId w:val="12"/>
  </w:num>
  <w:num w:numId="37">
    <w:abstractNumId w:val="0"/>
  </w:num>
  <w:num w:numId="38">
    <w:abstractNumId w:val="8"/>
  </w:num>
  <w:num w:numId="39">
    <w:abstractNumId w:val="1"/>
  </w:num>
  <w:num w:numId="40">
    <w:abstractNumId w:val="24"/>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activeWritingStyle w:appName="MSWord" w:lang="de-DE"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activeWritingStyle w:appName="MSWord" w:lang="de-DE" w:vendorID="64" w:dllVersion="4096" w:nlCheck="1" w:checkStyle="0"/>
  <w:activeWritingStyle w:appName="MSWord" w:lang="de-CH" w:vendorID="64" w:dllVersion="4096" w:nlCheck="1" w:checkStyle="0"/>
  <w:activeWritingStyle w:appName="MSWord" w:lang="fr-CH" w:vendorID="64" w:dllVersion="0" w:nlCheck="1" w:checkStyle="0"/>
  <w:activeWritingStyle w:appName="MSWord" w:lang="fr-CH" w:vendorID="64" w:dllVersion="4096" w:nlCheck="1" w:checkStyle="0"/>
  <w:documentProtection w:edit="readOnly"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508"/>
    <w:rsid w:val="0000036E"/>
    <w:rsid w:val="00066EFF"/>
    <w:rsid w:val="000753A0"/>
    <w:rsid w:val="000A5377"/>
    <w:rsid w:val="000B5EE9"/>
    <w:rsid w:val="000E61F6"/>
    <w:rsid w:val="00120299"/>
    <w:rsid w:val="001767C3"/>
    <w:rsid w:val="002A4890"/>
    <w:rsid w:val="003672EC"/>
    <w:rsid w:val="00396F87"/>
    <w:rsid w:val="003A0B5B"/>
    <w:rsid w:val="003B16E4"/>
    <w:rsid w:val="003C33FD"/>
    <w:rsid w:val="00433DFB"/>
    <w:rsid w:val="004707FB"/>
    <w:rsid w:val="004A220D"/>
    <w:rsid w:val="004F2C9F"/>
    <w:rsid w:val="005E7E97"/>
    <w:rsid w:val="005F0A64"/>
    <w:rsid w:val="00624FF1"/>
    <w:rsid w:val="006321C2"/>
    <w:rsid w:val="00664F30"/>
    <w:rsid w:val="00673859"/>
    <w:rsid w:val="006C55C8"/>
    <w:rsid w:val="00866992"/>
    <w:rsid w:val="009A7BE1"/>
    <w:rsid w:val="00A16F58"/>
    <w:rsid w:val="00A80508"/>
    <w:rsid w:val="00AB0E09"/>
    <w:rsid w:val="00AE266B"/>
    <w:rsid w:val="00B02403"/>
    <w:rsid w:val="00B37EF5"/>
    <w:rsid w:val="00B962FE"/>
    <w:rsid w:val="00BA39DD"/>
    <w:rsid w:val="00C3000E"/>
    <w:rsid w:val="00CC1D33"/>
    <w:rsid w:val="00CE0DB9"/>
    <w:rsid w:val="00D45B3C"/>
    <w:rsid w:val="00DA2BDF"/>
    <w:rsid w:val="00E1701A"/>
    <w:rsid w:val="00F95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FD6823"/>
  <w15:docId w15:val="{D08466E7-03D8-4D57-92DB-20613E41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paragraph" w:styleId="Heading1">
    <w:name w:val="heading 1"/>
    <w:basedOn w:val="Normal"/>
    <w:next w:val="Normal"/>
    <w:link w:val="Heading1Char"/>
    <w:uiPriority w:val="9"/>
    <w:qFormat/>
    <w:pPr>
      <w:keepNext/>
      <w:keepLines/>
      <w:spacing w:before="240" w:after="12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240" w:after="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Pr>
      <w:color w:val="80808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Pr>
      <w:rFonts w:eastAsiaTheme="majorEastAsia" w:cstheme="majorBidi"/>
      <w:b/>
      <w:szCs w:val="26"/>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table" w:customStyle="1" w:styleId="PlainTable21">
    <w:name w:val="Plain Table 21"/>
    <w:basedOn w:val="TableNormal"/>
    <w:uiPriority w:val="42"/>
    <w:pPr>
      <w:spacing w:after="0" w:line="240" w:lineRule="auto"/>
    </w:pPr>
    <w:rPr>
      <w:rFonts w:asciiTheme="minorHAnsi" w:hAnsiTheme="minorHAnsi" w:cstheme="minorBidi"/>
      <w:sz w:val="22"/>
      <w:szCs w:val="22"/>
      <w:lang w:val="de-D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Pr>
      <w:color w:val="0000FF"/>
      <w:u w:val="single"/>
    </w:rPr>
  </w:style>
  <w:style w:type="character" w:customStyle="1" w:styleId="identifier">
    <w:name w:val="identifier"/>
    <w:basedOn w:val="DefaultParagraphFont"/>
  </w:style>
  <w:style w:type="character" w:styleId="FollowedHyperlink">
    <w:name w:val="FollowedHyperlink"/>
    <w:basedOn w:val="DefaultParagraphFont"/>
    <w:uiPriority w:val="99"/>
    <w:semiHidden/>
    <w:unhideWhenUsed/>
    <w:rPr>
      <w:color w:val="954F72" w:themeColor="followedHyperlink"/>
      <w:u w:val="single"/>
    </w:rPr>
  </w:style>
  <w:style w:type="paragraph" w:styleId="ListBullet">
    <w:name w:val="List Bullet"/>
    <w:basedOn w:val="Normal"/>
    <w:uiPriority w:val="99"/>
    <w:unhideWhenUsed/>
    <w:pPr>
      <w:numPr>
        <w:numId w:val="37"/>
      </w:numPr>
      <w:contextualSpacing/>
    </w:p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style>
  <w:style w:type="character" w:styleId="FootnoteReference">
    <w:name w:val="footnote reference"/>
    <w:basedOn w:val="DefaultParagraphFont"/>
    <w:uiPriority w:val="99"/>
    <w:semiHidden/>
    <w:unhideWhenUsed/>
    <w:rPr>
      <w:vertAlign w:val="superscript"/>
    </w:rPr>
  </w:style>
  <w:style w:type="paragraph" w:styleId="Bibliography">
    <w:name w:val="Bibliography"/>
    <w:basedOn w:val="Normal"/>
    <w:next w:val="Normal"/>
    <w:uiPriority w:val="37"/>
    <w:unhideWhenUsed/>
    <w:pPr>
      <w:tabs>
        <w:tab w:val="left" w:pos="264"/>
      </w:tabs>
      <w:spacing w:after="0" w:line="480" w:lineRule="auto"/>
      <w:ind w:left="264" w:hanging="264"/>
    </w:pPr>
  </w:style>
  <w:style w:type="character" w:customStyle="1" w:styleId="docsum-authors">
    <w:name w:val="docsum-authors"/>
    <w:basedOn w:val="DefaultParagraphFont"/>
  </w:style>
  <w:style w:type="character" w:customStyle="1" w:styleId="docsum-journal-citation">
    <w:name w:val="docsum-journal-citation"/>
    <w:basedOn w:val="DefaultParagraphFont"/>
  </w:style>
  <w:style w:type="character" w:customStyle="1" w:styleId="period">
    <w:name w:val="period"/>
    <w:basedOn w:val="DefaultParagraphFont"/>
  </w:style>
  <w:style w:type="character" w:customStyle="1" w:styleId="cit">
    <w:name w:val="cit"/>
    <w:basedOn w:val="DefaultParagraphFont"/>
  </w:style>
  <w:style w:type="character" w:customStyle="1" w:styleId="citation-doi">
    <w:name w:val="citation-doi"/>
    <w:basedOn w:val="DefaultParagraphFont"/>
  </w:style>
  <w:style w:type="character" w:customStyle="1" w:styleId="secondary-date">
    <w:name w:val="secondary-date"/>
    <w:basedOn w:val="DefaultParagraphFont"/>
  </w:style>
  <w:style w:type="character" w:customStyle="1" w:styleId="authors-list-item">
    <w:name w:val="authors-list-item"/>
    <w:basedOn w:val="DefaultParagraphFont"/>
  </w:style>
  <w:style w:type="character" w:customStyle="1" w:styleId="author-sup-separator">
    <w:name w:val="author-sup-separator"/>
    <w:basedOn w:val="DefaultParagraphFont"/>
  </w:style>
  <w:style w:type="character" w:customStyle="1" w:styleId="comma">
    <w:name w:val="comma"/>
    <w:basedOn w:val="DefaultParagraphFont"/>
  </w:style>
  <w:style w:type="character" w:styleId="LineNumber">
    <w:name w:val="line number"/>
    <w:basedOn w:val="DefaultParagraphFon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41974">
      <w:bodyDiv w:val="1"/>
      <w:marLeft w:val="0"/>
      <w:marRight w:val="0"/>
      <w:marTop w:val="0"/>
      <w:marBottom w:val="0"/>
      <w:divBdr>
        <w:top w:val="none" w:sz="0" w:space="0" w:color="auto"/>
        <w:left w:val="none" w:sz="0" w:space="0" w:color="auto"/>
        <w:bottom w:val="none" w:sz="0" w:space="0" w:color="auto"/>
        <w:right w:val="none" w:sz="0" w:space="0" w:color="auto"/>
      </w:divBdr>
      <w:divsChild>
        <w:div w:id="1095710830">
          <w:marLeft w:val="0"/>
          <w:marRight w:val="0"/>
          <w:marTop w:val="0"/>
          <w:marBottom w:val="0"/>
          <w:divBdr>
            <w:top w:val="none" w:sz="0" w:space="0" w:color="auto"/>
            <w:left w:val="none" w:sz="0" w:space="0" w:color="auto"/>
            <w:bottom w:val="none" w:sz="0" w:space="0" w:color="auto"/>
            <w:right w:val="none" w:sz="0" w:space="0" w:color="auto"/>
          </w:divBdr>
          <w:divsChild>
            <w:div w:id="1207329670">
              <w:marLeft w:val="0"/>
              <w:marRight w:val="0"/>
              <w:marTop w:val="0"/>
              <w:marBottom w:val="0"/>
              <w:divBdr>
                <w:top w:val="none" w:sz="0" w:space="0" w:color="auto"/>
                <w:left w:val="none" w:sz="0" w:space="0" w:color="auto"/>
                <w:bottom w:val="none" w:sz="0" w:space="0" w:color="auto"/>
                <w:right w:val="none" w:sz="0" w:space="0" w:color="auto"/>
              </w:divBdr>
              <w:divsChild>
                <w:div w:id="304166114">
                  <w:marLeft w:val="0"/>
                  <w:marRight w:val="0"/>
                  <w:marTop w:val="0"/>
                  <w:marBottom w:val="0"/>
                  <w:divBdr>
                    <w:top w:val="none" w:sz="0" w:space="0" w:color="auto"/>
                    <w:left w:val="none" w:sz="0" w:space="0" w:color="auto"/>
                    <w:bottom w:val="none" w:sz="0" w:space="0" w:color="auto"/>
                    <w:right w:val="none" w:sz="0" w:space="0" w:color="auto"/>
                  </w:divBdr>
                  <w:divsChild>
                    <w:div w:id="189846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7596">
          <w:marLeft w:val="0"/>
          <w:marRight w:val="0"/>
          <w:marTop w:val="0"/>
          <w:marBottom w:val="0"/>
          <w:divBdr>
            <w:top w:val="none" w:sz="0" w:space="0" w:color="auto"/>
            <w:left w:val="none" w:sz="0" w:space="0" w:color="auto"/>
            <w:bottom w:val="none" w:sz="0" w:space="0" w:color="auto"/>
            <w:right w:val="none" w:sz="0" w:space="0" w:color="auto"/>
          </w:divBdr>
          <w:divsChild>
            <w:div w:id="846482201">
              <w:marLeft w:val="0"/>
              <w:marRight w:val="0"/>
              <w:marTop w:val="0"/>
              <w:marBottom w:val="0"/>
              <w:divBdr>
                <w:top w:val="none" w:sz="0" w:space="0" w:color="auto"/>
                <w:left w:val="none" w:sz="0" w:space="0" w:color="auto"/>
                <w:bottom w:val="none" w:sz="0" w:space="0" w:color="auto"/>
                <w:right w:val="none" w:sz="0" w:space="0" w:color="auto"/>
              </w:divBdr>
              <w:divsChild>
                <w:div w:id="174374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3911">
      <w:bodyDiv w:val="1"/>
      <w:marLeft w:val="0"/>
      <w:marRight w:val="0"/>
      <w:marTop w:val="0"/>
      <w:marBottom w:val="0"/>
      <w:divBdr>
        <w:top w:val="none" w:sz="0" w:space="0" w:color="auto"/>
        <w:left w:val="none" w:sz="0" w:space="0" w:color="auto"/>
        <w:bottom w:val="none" w:sz="0" w:space="0" w:color="auto"/>
        <w:right w:val="none" w:sz="0" w:space="0" w:color="auto"/>
      </w:divBdr>
      <w:divsChild>
        <w:div w:id="1434740720">
          <w:marLeft w:val="0"/>
          <w:marRight w:val="0"/>
          <w:marTop w:val="0"/>
          <w:marBottom w:val="0"/>
          <w:divBdr>
            <w:top w:val="none" w:sz="0" w:space="0" w:color="auto"/>
            <w:left w:val="none" w:sz="0" w:space="0" w:color="auto"/>
            <w:bottom w:val="none" w:sz="0" w:space="0" w:color="auto"/>
            <w:right w:val="none" w:sz="0" w:space="0" w:color="auto"/>
          </w:divBdr>
        </w:div>
      </w:divsChild>
    </w:div>
    <w:div w:id="163786805">
      <w:bodyDiv w:val="1"/>
      <w:marLeft w:val="0"/>
      <w:marRight w:val="0"/>
      <w:marTop w:val="0"/>
      <w:marBottom w:val="0"/>
      <w:divBdr>
        <w:top w:val="none" w:sz="0" w:space="0" w:color="auto"/>
        <w:left w:val="none" w:sz="0" w:space="0" w:color="auto"/>
        <w:bottom w:val="none" w:sz="0" w:space="0" w:color="auto"/>
        <w:right w:val="none" w:sz="0" w:space="0" w:color="auto"/>
      </w:divBdr>
    </w:div>
    <w:div w:id="354889260">
      <w:bodyDiv w:val="1"/>
      <w:marLeft w:val="0"/>
      <w:marRight w:val="0"/>
      <w:marTop w:val="0"/>
      <w:marBottom w:val="0"/>
      <w:divBdr>
        <w:top w:val="none" w:sz="0" w:space="0" w:color="auto"/>
        <w:left w:val="none" w:sz="0" w:space="0" w:color="auto"/>
        <w:bottom w:val="none" w:sz="0" w:space="0" w:color="auto"/>
        <w:right w:val="none" w:sz="0" w:space="0" w:color="auto"/>
      </w:divBdr>
    </w:div>
    <w:div w:id="382565026">
      <w:bodyDiv w:val="1"/>
      <w:marLeft w:val="0"/>
      <w:marRight w:val="0"/>
      <w:marTop w:val="0"/>
      <w:marBottom w:val="0"/>
      <w:divBdr>
        <w:top w:val="none" w:sz="0" w:space="0" w:color="auto"/>
        <w:left w:val="none" w:sz="0" w:space="0" w:color="auto"/>
        <w:bottom w:val="none" w:sz="0" w:space="0" w:color="auto"/>
        <w:right w:val="none" w:sz="0" w:space="0" w:color="auto"/>
      </w:divBdr>
    </w:div>
    <w:div w:id="424377508">
      <w:bodyDiv w:val="1"/>
      <w:marLeft w:val="0"/>
      <w:marRight w:val="0"/>
      <w:marTop w:val="0"/>
      <w:marBottom w:val="0"/>
      <w:divBdr>
        <w:top w:val="none" w:sz="0" w:space="0" w:color="auto"/>
        <w:left w:val="none" w:sz="0" w:space="0" w:color="auto"/>
        <w:bottom w:val="none" w:sz="0" w:space="0" w:color="auto"/>
        <w:right w:val="none" w:sz="0" w:space="0" w:color="auto"/>
      </w:divBdr>
    </w:div>
    <w:div w:id="456416768">
      <w:bodyDiv w:val="1"/>
      <w:marLeft w:val="0"/>
      <w:marRight w:val="0"/>
      <w:marTop w:val="0"/>
      <w:marBottom w:val="0"/>
      <w:divBdr>
        <w:top w:val="none" w:sz="0" w:space="0" w:color="auto"/>
        <w:left w:val="none" w:sz="0" w:space="0" w:color="auto"/>
        <w:bottom w:val="none" w:sz="0" w:space="0" w:color="auto"/>
        <w:right w:val="none" w:sz="0" w:space="0" w:color="auto"/>
      </w:divBdr>
      <w:divsChild>
        <w:div w:id="191771030">
          <w:marLeft w:val="274"/>
          <w:marRight w:val="0"/>
          <w:marTop w:val="0"/>
          <w:marBottom w:val="0"/>
          <w:divBdr>
            <w:top w:val="none" w:sz="0" w:space="0" w:color="auto"/>
            <w:left w:val="none" w:sz="0" w:space="0" w:color="auto"/>
            <w:bottom w:val="none" w:sz="0" w:space="0" w:color="auto"/>
            <w:right w:val="none" w:sz="0" w:space="0" w:color="auto"/>
          </w:divBdr>
        </w:div>
        <w:div w:id="199976541">
          <w:marLeft w:val="274"/>
          <w:marRight w:val="0"/>
          <w:marTop w:val="0"/>
          <w:marBottom w:val="0"/>
          <w:divBdr>
            <w:top w:val="none" w:sz="0" w:space="0" w:color="auto"/>
            <w:left w:val="none" w:sz="0" w:space="0" w:color="auto"/>
            <w:bottom w:val="none" w:sz="0" w:space="0" w:color="auto"/>
            <w:right w:val="none" w:sz="0" w:space="0" w:color="auto"/>
          </w:divBdr>
        </w:div>
        <w:div w:id="1744642149">
          <w:marLeft w:val="274"/>
          <w:marRight w:val="0"/>
          <w:marTop w:val="0"/>
          <w:marBottom w:val="0"/>
          <w:divBdr>
            <w:top w:val="none" w:sz="0" w:space="0" w:color="auto"/>
            <w:left w:val="none" w:sz="0" w:space="0" w:color="auto"/>
            <w:bottom w:val="none" w:sz="0" w:space="0" w:color="auto"/>
            <w:right w:val="none" w:sz="0" w:space="0" w:color="auto"/>
          </w:divBdr>
        </w:div>
      </w:divsChild>
    </w:div>
    <w:div w:id="580411698">
      <w:bodyDiv w:val="1"/>
      <w:marLeft w:val="0"/>
      <w:marRight w:val="0"/>
      <w:marTop w:val="0"/>
      <w:marBottom w:val="0"/>
      <w:divBdr>
        <w:top w:val="none" w:sz="0" w:space="0" w:color="auto"/>
        <w:left w:val="none" w:sz="0" w:space="0" w:color="auto"/>
        <w:bottom w:val="none" w:sz="0" w:space="0" w:color="auto"/>
        <w:right w:val="none" w:sz="0" w:space="0" w:color="auto"/>
      </w:divBdr>
    </w:div>
    <w:div w:id="696857205">
      <w:bodyDiv w:val="1"/>
      <w:marLeft w:val="0"/>
      <w:marRight w:val="0"/>
      <w:marTop w:val="0"/>
      <w:marBottom w:val="0"/>
      <w:divBdr>
        <w:top w:val="none" w:sz="0" w:space="0" w:color="auto"/>
        <w:left w:val="none" w:sz="0" w:space="0" w:color="auto"/>
        <w:bottom w:val="none" w:sz="0" w:space="0" w:color="auto"/>
        <w:right w:val="none" w:sz="0" w:space="0" w:color="auto"/>
      </w:divBdr>
    </w:div>
    <w:div w:id="707802358">
      <w:bodyDiv w:val="1"/>
      <w:marLeft w:val="0"/>
      <w:marRight w:val="0"/>
      <w:marTop w:val="0"/>
      <w:marBottom w:val="0"/>
      <w:divBdr>
        <w:top w:val="none" w:sz="0" w:space="0" w:color="auto"/>
        <w:left w:val="none" w:sz="0" w:space="0" w:color="auto"/>
        <w:bottom w:val="none" w:sz="0" w:space="0" w:color="auto"/>
        <w:right w:val="none" w:sz="0" w:space="0" w:color="auto"/>
      </w:divBdr>
    </w:div>
    <w:div w:id="899707687">
      <w:bodyDiv w:val="1"/>
      <w:marLeft w:val="0"/>
      <w:marRight w:val="0"/>
      <w:marTop w:val="0"/>
      <w:marBottom w:val="0"/>
      <w:divBdr>
        <w:top w:val="none" w:sz="0" w:space="0" w:color="auto"/>
        <w:left w:val="none" w:sz="0" w:space="0" w:color="auto"/>
        <w:bottom w:val="none" w:sz="0" w:space="0" w:color="auto"/>
        <w:right w:val="none" w:sz="0" w:space="0" w:color="auto"/>
      </w:divBdr>
    </w:div>
    <w:div w:id="974679256">
      <w:bodyDiv w:val="1"/>
      <w:marLeft w:val="0"/>
      <w:marRight w:val="0"/>
      <w:marTop w:val="0"/>
      <w:marBottom w:val="0"/>
      <w:divBdr>
        <w:top w:val="none" w:sz="0" w:space="0" w:color="auto"/>
        <w:left w:val="none" w:sz="0" w:space="0" w:color="auto"/>
        <w:bottom w:val="none" w:sz="0" w:space="0" w:color="auto"/>
        <w:right w:val="none" w:sz="0" w:space="0" w:color="auto"/>
      </w:divBdr>
      <w:divsChild>
        <w:div w:id="240601465">
          <w:marLeft w:val="0"/>
          <w:marRight w:val="0"/>
          <w:marTop w:val="0"/>
          <w:marBottom w:val="0"/>
          <w:divBdr>
            <w:top w:val="none" w:sz="0" w:space="0" w:color="auto"/>
            <w:left w:val="none" w:sz="0" w:space="0" w:color="auto"/>
            <w:bottom w:val="none" w:sz="0" w:space="0" w:color="auto"/>
            <w:right w:val="none" w:sz="0" w:space="0" w:color="auto"/>
          </w:divBdr>
        </w:div>
      </w:divsChild>
    </w:div>
    <w:div w:id="1050617979">
      <w:bodyDiv w:val="1"/>
      <w:marLeft w:val="0"/>
      <w:marRight w:val="0"/>
      <w:marTop w:val="0"/>
      <w:marBottom w:val="0"/>
      <w:divBdr>
        <w:top w:val="none" w:sz="0" w:space="0" w:color="auto"/>
        <w:left w:val="none" w:sz="0" w:space="0" w:color="auto"/>
        <w:bottom w:val="none" w:sz="0" w:space="0" w:color="auto"/>
        <w:right w:val="none" w:sz="0" w:space="0" w:color="auto"/>
      </w:divBdr>
    </w:div>
    <w:div w:id="1088498457">
      <w:bodyDiv w:val="1"/>
      <w:marLeft w:val="0"/>
      <w:marRight w:val="0"/>
      <w:marTop w:val="0"/>
      <w:marBottom w:val="0"/>
      <w:divBdr>
        <w:top w:val="none" w:sz="0" w:space="0" w:color="auto"/>
        <w:left w:val="none" w:sz="0" w:space="0" w:color="auto"/>
        <w:bottom w:val="none" w:sz="0" w:space="0" w:color="auto"/>
        <w:right w:val="none" w:sz="0" w:space="0" w:color="auto"/>
      </w:divBdr>
      <w:divsChild>
        <w:div w:id="389769342">
          <w:marLeft w:val="0"/>
          <w:marRight w:val="0"/>
          <w:marTop w:val="0"/>
          <w:marBottom w:val="0"/>
          <w:divBdr>
            <w:top w:val="none" w:sz="0" w:space="0" w:color="auto"/>
            <w:left w:val="none" w:sz="0" w:space="0" w:color="auto"/>
            <w:bottom w:val="none" w:sz="0" w:space="0" w:color="auto"/>
            <w:right w:val="none" w:sz="0" w:space="0" w:color="auto"/>
          </w:divBdr>
          <w:divsChild>
            <w:div w:id="6071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937166">
      <w:bodyDiv w:val="1"/>
      <w:marLeft w:val="0"/>
      <w:marRight w:val="0"/>
      <w:marTop w:val="0"/>
      <w:marBottom w:val="0"/>
      <w:divBdr>
        <w:top w:val="none" w:sz="0" w:space="0" w:color="auto"/>
        <w:left w:val="none" w:sz="0" w:space="0" w:color="auto"/>
        <w:bottom w:val="none" w:sz="0" w:space="0" w:color="auto"/>
        <w:right w:val="none" w:sz="0" w:space="0" w:color="auto"/>
      </w:divBdr>
      <w:divsChild>
        <w:div w:id="307326625">
          <w:marLeft w:val="0"/>
          <w:marRight w:val="0"/>
          <w:marTop w:val="0"/>
          <w:marBottom w:val="0"/>
          <w:divBdr>
            <w:top w:val="none" w:sz="0" w:space="0" w:color="auto"/>
            <w:left w:val="none" w:sz="0" w:space="0" w:color="auto"/>
            <w:bottom w:val="none" w:sz="0" w:space="0" w:color="auto"/>
            <w:right w:val="none" w:sz="0" w:space="0" w:color="auto"/>
          </w:divBdr>
        </w:div>
      </w:divsChild>
    </w:div>
    <w:div w:id="1177227631">
      <w:bodyDiv w:val="1"/>
      <w:marLeft w:val="0"/>
      <w:marRight w:val="0"/>
      <w:marTop w:val="0"/>
      <w:marBottom w:val="0"/>
      <w:divBdr>
        <w:top w:val="none" w:sz="0" w:space="0" w:color="auto"/>
        <w:left w:val="none" w:sz="0" w:space="0" w:color="auto"/>
        <w:bottom w:val="none" w:sz="0" w:space="0" w:color="auto"/>
        <w:right w:val="none" w:sz="0" w:space="0" w:color="auto"/>
      </w:divBdr>
    </w:div>
    <w:div w:id="1255821571">
      <w:bodyDiv w:val="1"/>
      <w:marLeft w:val="0"/>
      <w:marRight w:val="0"/>
      <w:marTop w:val="0"/>
      <w:marBottom w:val="0"/>
      <w:divBdr>
        <w:top w:val="none" w:sz="0" w:space="0" w:color="auto"/>
        <w:left w:val="none" w:sz="0" w:space="0" w:color="auto"/>
        <w:bottom w:val="none" w:sz="0" w:space="0" w:color="auto"/>
        <w:right w:val="none" w:sz="0" w:space="0" w:color="auto"/>
      </w:divBdr>
    </w:div>
    <w:div w:id="1414429917">
      <w:bodyDiv w:val="1"/>
      <w:marLeft w:val="0"/>
      <w:marRight w:val="0"/>
      <w:marTop w:val="0"/>
      <w:marBottom w:val="0"/>
      <w:divBdr>
        <w:top w:val="none" w:sz="0" w:space="0" w:color="auto"/>
        <w:left w:val="none" w:sz="0" w:space="0" w:color="auto"/>
        <w:bottom w:val="none" w:sz="0" w:space="0" w:color="auto"/>
        <w:right w:val="none" w:sz="0" w:space="0" w:color="auto"/>
      </w:divBdr>
      <w:divsChild>
        <w:div w:id="1302228028">
          <w:marLeft w:val="0"/>
          <w:marRight w:val="0"/>
          <w:marTop w:val="0"/>
          <w:marBottom w:val="0"/>
          <w:divBdr>
            <w:top w:val="none" w:sz="0" w:space="0" w:color="auto"/>
            <w:left w:val="none" w:sz="0" w:space="0" w:color="auto"/>
            <w:bottom w:val="none" w:sz="0" w:space="0" w:color="auto"/>
            <w:right w:val="none" w:sz="0" w:space="0" w:color="auto"/>
          </w:divBdr>
        </w:div>
      </w:divsChild>
    </w:div>
    <w:div w:id="1422409983">
      <w:bodyDiv w:val="1"/>
      <w:marLeft w:val="0"/>
      <w:marRight w:val="0"/>
      <w:marTop w:val="0"/>
      <w:marBottom w:val="0"/>
      <w:divBdr>
        <w:top w:val="none" w:sz="0" w:space="0" w:color="auto"/>
        <w:left w:val="none" w:sz="0" w:space="0" w:color="auto"/>
        <w:bottom w:val="none" w:sz="0" w:space="0" w:color="auto"/>
        <w:right w:val="none" w:sz="0" w:space="0" w:color="auto"/>
      </w:divBdr>
    </w:div>
    <w:div w:id="1437019570">
      <w:bodyDiv w:val="1"/>
      <w:marLeft w:val="0"/>
      <w:marRight w:val="0"/>
      <w:marTop w:val="0"/>
      <w:marBottom w:val="0"/>
      <w:divBdr>
        <w:top w:val="none" w:sz="0" w:space="0" w:color="auto"/>
        <w:left w:val="none" w:sz="0" w:space="0" w:color="auto"/>
        <w:bottom w:val="none" w:sz="0" w:space="0" w:color="auto"/>
        <w:right w:val="none" w:sz="0" w:space="0" w:color="auto"/>
      </w:divBdr>
    </w:div>
    <w:div w:id="1576085142">
      <w:bodyDiv w:val="1"/>
      <w:marLeft w:val="0"/>
      <w:marRight w:val="0"/>
      <w:marTop w:val="0"/>
      <w:marBottom w:val="0"/>
      <w:divBdr>
        <w:top w:val="none" w:sz="0" w:space="0" w:color="auto"/>
        <w:left w:val="none" w:sz="0" w:space="0" w:color="auto"/>
        <w:bottom w:val="none" w:sz="0" w:space="0" w:color="auto"/>
        <w:right w:val="none" w:sz="0" w:space="0" w:color="auto"/>
      </w:divBdr>
    </w:div>
    <w:div w:id="1615284555">
      <w:bodyDiv w:val="1"/>
      <w:marLeft w:val="0"/>
      <w:marRight w:val="0"/>
      <w:marTop w:val="0"/>
      <w:marBottom w:val="0"/>
      <w:divBdr>
        <w:top w:val="none" w:sz="0" w:space="0" w:color="auto"/>
        <w:left w:val="none" w:sz="0" w:space="0" w:color="auto"/>
        <w:bottom w:val="none" w:sz="0" w:space="0" w:color="auto"/>
        <w:right w:val="none" w:sz="0" w:space="0" w:color="auto"/>
      </w:divBdr>
    </w:div>
    <w:div w:id="1624917670">
      <w:bodyDiv w:val="1"/>
      <w:marLeft w:val="0"/>
      <w:marRight w:val="0"/>
      <w:marTop w:val="0"/>
      <w:marBottom w:val="0"/>
      <w:divBdr>
        <w:top w:val="none" w:sz="0" w:space="0" w:color="auto"/>
        <w:left w:val="none" w:sz="0" w:space="0" w:color="auto"/>
        <w:bottom w:val="none" w:sz="0" w:space="0" w:color="auto"/>
        <w:right w:val="none" w:sz="0" w:space="0" w:color="auto"/>
      </w:divBdr>
    </w:div>
    <w:div w:id="1719738419">
      <w:bodyDiv w:val="1"/>
      <w:marLeft w:val="0"/>
      <w:marRight w:val="0"/>
      <w:marTop w:val="0"/>
      <w:marBottom w:val="0"/>
      <w:divBdr>
        <w:top w:val="none" w:sz="0" w:space="0" w:color="auto"/>
        <w:left w:val="none" w:sz="0" w:space="0" w:color="auto"/>
        <w:bottom w:val="none" w:sz="0" w:space="0" w:color="auto"/>
        <w:right w:val="none" w:sz="0" w:space="0" w:color="auto"/>
      </w:divBdr>
    </w:div>
    <w:div w:id="1849442438">
      <w:bodyDiv w:val="1"/>
      <w:marLeft w:val="0"/>
      <w:marRight w:val="0"/>
      <w:marTop w:val="0"/>
      <w:marBottom w:val="0"/>
      <w:divBdr>
        <w:top w:val="none" w:sz="0" w:space="0" w:color="auto"/>
        <w:left w:val="none" w:sz="0" w:space="0" w:color="auto"/>
        <w:bottom w:val="none" w:sz="0" w:space="0" w:color="auto"/>
        <w:right w:val="none" w:sz="0" w:space="0" w:color="auto"/>
      </w:divBdr>
    </w:div>
    <w:div w:id="1948273672">
      <w:bodyDiv w:val="1"/>
      <w:marLeft w:val="0"/>
      <w:marRight w:val="0"/>
      <w:marTop w:val="0"/>
      <w:marBottom w:val="0"/>
      <w:divBdr>
        <w:top w:val="none" w:sz="0" w:space="0" w:color="auto"/>
        <w:left w:val="none" w:sz="0" w:space="0" w:color="auto"/>
        <w:bottom w:val="none" w:sz="0" w:space="0" w:color="auto"/>
        <w:right w:val="none" w:sz="0" w:space="0" w:color="auto"/>
      </w:divBdr>
    </w:div>
    <w:div w:id="211389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Ros06</b:Tag>
    <b:SourceType>ArticleInAPeriodical</b:SourceType>
    <b:Guid>{2E023B5C-303F-4C28-AB4F-64C26906BCF4}</b:Guid>
    <b:Title>Ranibizumab for Neovascular Age-Related Macular Degeneration</b:Title>
    <b:PeriodicalTitle>N Engl J Med</b:PeriodicalTitle>
    <b:Year>2006</b:Year>
    <b:Pages>1419-1431</b:Pages>
    <b:Author>
      <b:Author>
        <b:NameList>
          <b:Person>
            <b:Last>Rosenfeld</b:Last>
            <b:Middle>J</b:Middle>
            <b:First>Philip</b:First>
          </b:Person>
          <b:Person>
            <b:Last>Brown</b:Last>
            <b:Middle>M</b:Middle>
            <b:First>David</b:First>
          </b:Person>
          <b:Person>
            <b:Last>Heier</b:Last>
            <b:Middle>S</b:Middle>
            <b:First>Jeffrey</b:First>
          </b:Person>
          <b:Person>
            <b:Last>Boyer</b:Last>
            <b:Middle>S</b:Middle>
            <b:First>David</b:First>
          </b:Person>
          <b:Person>
            <b:Last>et al.</b:Last>
          </b:Person>
          <b:Person>
            <b:Last>for the MARINA Study Group</b:Last>
          </b:Person>
        </b:NameList>
      </b:Author>
    </b:Author>
    <b:Volume>355</b:Volume>
    <b:DOI>10.1056/NEJMoa054481</b:DOI>
    <b:Issue>14</b:Issue>
    <b:RefOrder>1</b:RefOrder>
  </b:Source>
  <b:Source>
    <b:Tag>Hei</b:Tag>
    <b:SourceType>ArticleInAPeriodical</b:SourceType>
    <b:Guid>{C695BE10-29C7-473A-853A-8ECBB5C03F8F}</b:Guid>
    <b:Author>
      <b:Author>
        <b:NameList>
          <b:Person>
            <b:Last>Heier</b:Last>
            <b:First>Jeffrey</b:First>
            <b:Middle>S</b:Middle>
          </b:Person>
          <b:Person>
            <b:Last>Brown</b:Last>
            <b:First>David</b:First>
            <b:Middle>M</b:Middle>
          </b:Person>
          <b:Person>
            <b:Last>Chong</b:Last>
            <b:First>Victor</b:First>
          </b:Person>
          <b:Person>
            <b:Last>et al.</b:Last>
          </b:Person>
        </b:NameList>
      </b:Author>
    </b:Author>
    <b:Title>Intravitreal aflibercept (VEGF trap-eye) in wet age-related macular degeneration</b:Title>
    <b:PeriodicalTitle>Ophthalmology</b:PeriodicalTitle>
    <b:Year>2012</b:Year>
    <b:Volume>119</b:Volume>
    <b:Issue>12</b:Issue>
    <b:ShortTitle>2537-48</b:ShortTitle>
    <b:DOI>10.1016/j.ophtha.2012.09.006</b:DOI>
    <b:Pages>2537-48</b:Pages>
    <b:RefOrder>4</b:RefOrder>
  </b:Source>
  <b:Source>
    <b:Tag>Dug20</b:Tag>
    <b:SourceType>ArticleInAPeriodical</b:SourceType>
    <b:Guid>{56ADBC05-792D-4298-ACD2-CA1623752CF9}</b:Guid>
    <b:Author>
      <b:Author>
        <b:NameList>
          <b:Person>
            <b:Last>Dugel</b:Last>
            <b:First>Pravin</b:First>
            <b:Middle>U</b:Middle>
          </b:Person>
          <b:Person>
            <b:Last>Koh</b:Last>
            <b:First>Adrian</b:First>
          </b:Person>
          <b:Person>
            <b:Last>Ogura</b:Last>
            <b:First>Yuichiro</b:First>
          </b:Person>
          <b:Person>
            <b:Last>Jaffe</b:Last>
            <b:First>Glenn</b:First>
            <b:Middle>J</b:Middle>
          </b:Person>
          <b:Person>
            <b:Last>Schmidt-Erfurth</b:Last>
            <b:First>Ursula</b:First>
          </b:Person>
          <b:Person>
            <b:Last>Brown</b:Last>
            <b:First>David</b:First>
            <b:Middle>M</b:Middle>
          </b:Person>
          <b:Person>
            <b:Last>Gomes</b:Last>
            <b:First>Andre</b:First>
            <b:Middle>V</b:Middle>
          </b:Person>
          <b:Person>
            <b:Last>Warburton</b:Last>
            <b:First>James</b:First>
          </b:Person>
          <b:Person>
            <b:Last>Weichselberger</b:Last>
            <b:First>Andreas</b:First>
          </b:Person>
          <b:Person>
            <b:Last>Holz</b:Last>
            <b:First>Frank</b:First>
            <b:Middle>G</b:Middle>
          </b:Person>
          <b:Person>
            <b:Last>Investigators</b:Last>
            <b:First>HAWK</b:First>
            <b:Middle>and HARRIER Study</b:Middle>
          </b:Person>
        </b:NameList>
      </b:Author>
    </b:Author>
    <b:Title>HAWK and HARRIER: Phase 3, Multicenter, Randomized, Double-Masked Trials of Brolucizumab for Neovascular Age-Related Macular Degeneration</b:Title>
    <b:PeriodicalTitle>Ophthalmology</b:PeriodicalTitle>
    <b:Year>2020</b:Year>
    <b:Pages>72-84</b:Pages>
    <b:Volume>127</b:Volume>
    <b:Issue>1</b:Issue>
    <b:DOI>10.1016/j.ophtha.2019.04.017</b:DOI>
    <b:RefOrder>5</b:RefOrder>
  </b:Source>
  <b:Source>
    <b:Tag>Bro09</b:Tag>
    <b:SourceType>ArticleInAPeriodical</b:SourceType>
    <b:Guid>{D980998A-FE6A-4291-B3EA-E096AE2EFD06}</b:Guid>
    <b:Title>Ranibizumab versus Verteporfin Photodynamic Therapy for Neovascular Age-Related Macular Degeneration: Two-Year Results of the ANCHOR Study</b:Title>
    <b:PeriodicalTitle>Ophthalmology</b:PeriodicalTitle>
    <b:Year>2009</b:Year>
    <b:Pages>57-65</b:Pages>
    <b:Author>
      <b:Author>
        <b:NameList>
          <b:Person>
            <b:Last>Brown</b:Last>
            <b:First>David</b:First>
            <b:Middle>M</b:Middle>
          </b:Person>
          <b:Person>
            <b:Last>Michels</b:Last>
            <b:First>Mark</b:First>
          </b:Person>
          <b:Person>
            <b:Last>Kaiser</b:Last>
            <b:First>Peter</b:First>
            <b:Middle>K</b:Middle>
          </b:Person>
          <b:Person>
            <b:Last>Heier</b:Last>
            <b:First>Jeffrey</b:First>
            <b:Middle>S</b:Middle>
          </b:Person>
          <b:Person>
            <b:Last>Sy</b:Last>
            <b:First>Judy</b:First>
            <b:Middle>P</b:Middle>
          </b:Person>
          <b:Person>
            <b:Last>Ianchulev</b:Last>
            <b:First>Tsontcho</b:First>
          </b:Person>
        </b:NameList>
      </b:Author>
    </b:Author>
    <b:Volume>116</b:Volume>
    <b:Issue>1</b:Issue>
    <b:DOI>10.1016/j.ophtha.2008.10.018</b:DOI>
    <b:RefOrder>3</b:RefOrder>
  </b:Source>
  <b:Source>
    <b:Tag>Ran</b:Tag>
    <b:SourceType>ArticleInAPeriodical</b:SourceType>
    <b:Guid>{0C48B21D-FC8C-4916-9E9A-F3DF54547B32}</b:Guid>
    <b:Title>Ranibizumab versus Verteporfin for Neovascular Age-Related Macular Degeneration</b:Title>
    <b:PeriodicalTitle>N Engl J Med</b:PeriodicalTitle>
    <b:Year>2006</b:Year>
    <b:Pages>1432-1444</b:Pages>
    <b:Author>
      <b:Author>
        <b:NameList>
          <b:Person>
            <b:Last>Brown</b:Last>
            <b:Middle>M</b:Middle>
            <b:First>David</b:First>
          </b:Person>
          <b:Person>
            <b:Last>Kaiser</b:Last>
            <b:Middle>K</b:Middle>
            <b:First>Peter</b:First>
          </b:Person>
          <b:Person>
            <b:Last>Michels</b:Last>
            <b:First>Mark</b:First>
          </b:Person>
          <b:Person>
            <b:Last>Soubrane</b:Last>
            <b:First>Gisele</b:First>
          </b:Person>
          <b:Person>
            <b:Last>et al.</b:Last>
          </b:Person>
          <b:Person>
            <b:Last>for the ANCHOR Study Group</b:Last>
          </b:Person>
        </b:NameList>
      </b:Author>
    </b:Author>
    <b:DOI>10.1056/NEJMoa062655</b:DOI>
    <b:Volume>355</b:Volume>
    <b:Issue>14</b:Issue>
    <b:RefOrder>2</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8EB797A429C64B92364B63517C0FDB" ma:contentTypeVersion="13" ma:contentTypeDescription="Create a new document." ma:contentTypeScope="" ma:versionID="ad6519b9bf24828c3db7220e20633d47">
  <xsd:schema xmlns:xsd="http://www.w3.org/2001/XMLSchema" xmlns:xs="http://www.w3.org/2001/XMLSchema" xmlns:p="http://schemas.microsoft.com/office/2006/metadata/properties" xmlns:ns3="c39da06a-8dfa-4bdd-8750-5f55bfab8267" xmlns:ns4="f1203e03-61db-4d76-8c9e-3eca686a44dc" targetNamespace="http://schemas.microsoft.com/office/2006/metadata/properties" ma:root="true" ma:fieldsID="83bca6b0999760a5d9f731dca5bc277f" ns3:_="" ns4:_="">
    <xsd:import namespace="c39da06a-8dfa-4bdd-8750-5f55bfab8267"/>
    <xsd:import namespace="f1203e03-61db-4d76-8c9e-3eca686a44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da06a-8dfa-4bdd-8750-5f55bfab82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203e03-61db-4d76-8c9e-3eca686a44d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DC367-394E-D14D-ADE3-FA0B2C1C6CFC}">
  <ds:schemaRefs>
    <ds:schemaRef ds:uri="http://schemas.openxmlformats.org/officeDocument/2006/bibliography"/>
  </ds:schemaRefs>
</ds:datastoreItem>
</file>

<file path=customXml/itemProps2.xml><?xml version="1.0" encoding="utf-8"?>
<ds:datastoreItem xmlns:ds="http://schemas.openxmlformats.org/officeDocument/2006/customXml" ds:itemID="{C1A91FCB-1C15-43FF-B298-EC58E4FC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0A78D2-D253-4888-8BCA-5A0538253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da06a-8dfa-4bdd-8750-5f55bfab8267"/>
    <ds:schemaRef ds:uri="f1203e03-61db-4d76-8c9e-3eca686a4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D90C8-2388-49A0-AD18-A906722375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559</Words>
  <Characters>3190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Novartis</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Gmeiner, Benjamin</dc:creator>
  <cp:lastModifiedBy>Gmeiner, Benjamin</cp:lastModifiedBy>
  <cp:revision>4</cp:revision>
  <cp:lastPrinted>2021-08-30T14:07:00Z</cp:lastPrinted>
  <dcterms:created xsi:type="dcterms:W3CDTF">2021-12-30T19:00:00Z</dcterms:created>
  <dcterms:modified xsi:type="dcterms:W3CDTF">2022-01-06T18:02:00Z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ity">
    <vt:lpwstr>Business Use Only</vt:lpwstr>
  </property>
  <property fmtid="{D5CDD505-2E9C-101B-9397-08002B2CF9AE}" pid="3" name="ContentTypeId">
    <vt:lpwstr>0x010100A18EB797A429C64B92364B63517C0FDB</vt:lpwstr>
  </property>
  <property fmtid="{D5CDD505-2E9C-101B-9397-08002B2CF9AE}" pid="4" name="MSIP_Label_4929bff8-5b33-42aa-95d2-28f72e792cb0_Enabled">
    <vt:lpwstr>true</vt:lpwstr>
  </property>
  <property fmtid="{D5CDD505-2E9C-101B-9397-08002B2CF9AE}" pid="5" name="MSIP_Label_4929bff8-5b33-42aa-95d2-28f72e792cb0_SetDate">
    <vt:lpwstr>2021-03-20T08:19:46Z</vt:lpwstr>
  </property>
  <property fmtid="{D5CDD505-2E9C-101B-9397-08002B2CF9AE}" pid="6" name="MSIP_Label_4929bff8-5b33-42aa-95d2-28f72e792cb0_Method">
    <vt:lpwstr>Standard</vt:lpwstr>
  </property>
  <property fmtid="{D5CDD505-2E9C-101B-9397-08002B2CF9AE}" pid="7" name="MSIP_Label_4929bff8-5b33-42aa-95d2-28f72e792cb0_Name">
    <vt:lpwstr>Internal</vt:lpwstr>
  </property>
  <property fmtid="{D5CDD505-2E9C-101B-9397-08002B2CF9AE}" pid="8" name="MSIP_Label_4929bff8-5b33-42aa-95d2-28f72e792cb0_SiteId">
    <vt:lpwstr>f35a6974-607f-47d4-82d7-ff31d7dc53a5</vt:lpwstr>
  </property>
  <property fmtid="{D5CDD505-2E9C-101B-9397-08002B2CF9AE}" pid="9" name="MSIP_Label_4929bff8-5b33-42aa-95d2-28f72e792cb0_ActionId">
    <vt:lpwstr>974805e6-c507-4311-9dc8-bd207cc6828c</vt:lpwstr>
  </property>
  <property fmtid="{D5CDD505-2E9C-101B-9397-08002B2CF9AE}" pid="10" name="MSIP_Label_4929bff8-5b33-42aa-95d2-28f72e792cb0_ContentBits">
    <vt:lpwstr>0</vt:lpwstr>
  </property>
  <property fmtid="{D5CDD505-2E9C-101B-9397-08002B2CF9AE}" pid="11" name="ZOTERO_PREF_1">
    <vt:lpwstr>&lt;data data-version="3" zotero-version="5.0.96.3"&gt;&lt;session id="VCB9Sw8K"/&gt;&lt;style id="http://www.zotero.org/styles/nature" hasBibliography="1" bibliographyStyleHasBeenSet="1"/&gt;&lt;prefs&gt;&lt;pref name="fieldType" value="Field"/&gt;&lt;pref name="automaticJournalAbbrevia</vt:lpwstr>
  </property>
  <property fmtid="{D5CDD505-2E9C-101B-9397-08002B2CF9AE}" pid="12" name="ZOTERO_PREF_2">
    <vt:lpwstr>tions" value="true"/&gt;&lt;/prefs&gt;&lt;/data&gt;</vt:lpwstr>
  </property>
</Properties>
</file>