
<file path=[Content_Types].xml><?xml version="1.0" encoding="utf-8"?>
<Types xmlns="http://schemas.openxmlformats.org/package/2006/content-types">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_rels/document.xml.rels" ContentType="application/vnd.openxmlformats-package.relationships+xml"/>
  <Override PartName="/word/styles.xml" ContentType="application/vnd.openxmlformats-officedocument.wordprocessingml.styles+xml"/>
  <Override PartName="/word/media/image5.png" ContentType="image/png"/>
  <Override PartName="/word/media/image4.png" ContentType="image/png"/>
  <Override PartName="/word/media/image3.png" ContentType="image/png"/>
  <Override PartName="/word/media/image1.png" ContentType="image/png"/>
  <Override PartName="/word/media/image2.png" ContentType="image/png"/>
  <Override PartName="/word/fontTable.xml" ContentType="application/vnd.openxmlformats-officedocument.wordprocessingml.fontTable+xml"/>
  <Override PartName="/word/settings.xml" ContentType="application/vnd.openxmlformats-officedocument.wordprocessingml.settings+xml"/>
  <Override PartName="/word/document.xml" ContentType="application/vnd.openxmlformats-officedocument.wordprocessingml.document.main+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sz w:val="32"/>
          <w:szCs w:val="32"/>
          <w:u w:val="single"/>
        </w:rPr>
      </w:pPr>
      <w:r>
        <w:rPr>
          <w:sz w:val="32"/>
          <w:szCs w:val="32"/>
          <w:u w:val="single"/>
        </w:rPr>
        <w:t>Supplementary information</w:t>
      </w:r>
    </w:p>
    <w:p>
      <w:pPr>
        <w:pStyle w:val="Normal"/>
        <w:spacing w:lineRule="auto" w:line="360" w:before="240" w:after="240"/>
        <w:jc w:val="both"/>
        <w:rPr/>
      </w:pPr>
      <w:r>
        <w:rPr/>
        <w:drawing>
          <wp:inline distT="0" distB="0" distL="0" distR="0">
            <wp:extent cx="4759960" cy="3784600"/>
            <wp:effectExtent l="0" t="0" r="0" b="0"/>
            <wp:docPr id="1"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png" descr=""/>
                    <pic:cNvPicPr>
                      <a:picLocks noChangeAspect="1" noChangeArrowheads="1"/>
                    </pic:cNvPicPr>
                  </pic:nvPicPr>
                  <pic:blipFill>
                    <a:blip r:embed="rId2"/>
                    <a:stretch>
                      <a:fillRect/>
                    </a:stretch>
                  </pic:blipFill>
                  <pic:spPr bwMode="auto">
                    <a:xfrm>
                      <a:off x="0" y="0"/>
                      <a:ext cx="4759960" cy="3784600"/>
                    </a:xfrm>
                    <a:prstGeom prst="rect">
                      <a:avLst/>
                    </a:prstGeom>
                  </pic:spPr>
                </pic:pic>
              </a:graphicData>
            </a:graphic>
          </wp:inline>
        </w:drawing>
        <w:drawing>
          <wp:anchor behindDoc="0" distT="0" distB="0" distL="0" distR="0" simplePos="0" locked="0" layoutInCell="1" allowOverlap="1" relativeHeight="2">
            <wp:simplePos x="0" y="0"/>
            <wp:positionH relativeFrom="column">
              <wp:posOffset>4189095</wp:posOffset>
            </wp:positionH>
            <wp:positionV relativeFrom="paragraph">
              <wp:posOffset>742950</wp:posOffset>
            </wp:positionV>
            <wp:extent cx="1571625" cy="2717800"/>
            <wp:effectExtent l="0" t="0" r="0" b="0"/>
            <wp:wrapNone/>
            <wp:docPr id="2" name="image2.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png" descr=""/>
                    <pic:cNvPicPr>
                      <a:picLocks noChangeAspect="1" noChangeArrowheads="1"/>
                    </pic:cNvPicPr>
                  </pic:nvPicPr>
                  <pic:blipFill>
                    <a:blip r:embed="rId3"/>
                    <a:srcRect l="69341" t="0" r="12250" b="0"/>
                    <a:stretch>
                      <a:fillRect/>
                    </a:stretch>
                  </pic:blipFill>
                  <pic:spPr bwMode="auto">
                    <a:xfrm>
                      <a:off x="0" y="0"/>
                      <a:ext cx="1571625" cy="2717800"/>
                    </a:xfrm>
                    <a:prstGeom prst="rect">
                      <a:avLst/>
                    </a:prstGeom>
                  </pic:spPr>
                </pic:pic>
              </a:graphicData>
            </a:graphic>
          </wp:anchor>
        </w:drawing>
      </w:r>
    </w:p>
    <w:p>
      <w:pPr>
        <w:pStyle w:val="Normal"/>
        <w:spacing w:lineRule="auto" w:line="360" w:before="240" w:after="240"/>
        <w:jc w:val="both"/>
        <w:rPr/>
      </w:pPr>
      <w:r>
        <w:rPr>
          <w:b/>
          <w:i/>
          <w:sz w:val="20"/>
          <w:szCs w:val="20"/>
        </w:rPr>
        <w:t>Supplementary Figure 1: L-to-D conversion of protein structures.</w:t>
      </w:r>
      <w:r>
        <w:rPr>
          <w:i/>
          <w:sz w:val="20"/>
          <w:szCs w:val="20"/>
        </w:rPr>
        <w:t xml:space="preserve"> A: L-Monellin crystal structure </w:t>
      </w:r>
      <w:r>
        <w:rPr>
          <w:i/>
          <w:sz w:val="20"/>
          <w:szCs w:val="20"/>
        </w:rPr>
        <w:t xml:space="preserve">PDB ID: </w:t>
      </w:r>
      <w:r>
        <w:rPr>
          <w:i/>
          <w:sz w:val="20"/>
          <w:szCs w:val="20"/>
        </w:rPr>
        <w:t xml:space="preserve">1MOL (orange) and structure prediction of its mirror-image D-analogue (light green) by inversion of the X-coordinates of all atoms. B: Alignment of  two D-Monellin structures with Pymol: D-Monellin crystal structure </w:t>
      </w:r>
      <w:r>
        <w:rPr>
          <w:i/>
          <w:sz w:val="20"/>
          <w:szCs w:val="20"/>
        </w:rPr>
        <w:t xml:space="preserve">PDB ID: </w:t>
      </w:r>
      <w:r>
        <w:rPr>
          <w:i/>
          <w:sz w:val="20"/>
          <w:szCs w:val="20"/>
        </w:rPr>
        <w:t>2Q33 (red) and D-Monellin model predicted by L-to-D conversion (blue).</w:t>
      </w:r>
    </w:p>
    <w:p>
      <w:pPr>
        <w:pStyle w:val="Normal"/>
        <w:spacing w:lineRule="auto" w:line="360" w:before="240" w:after="240"/>
        <w:jc w:val="both"/>
        <w:rPr>
          <w:i/>
          <w:i/>
        </w:rPr>
      </w:pPr>
      <w:r>
        <w:rPr>
          <w:i/>
        </w:rPr>
      </w:r>
    </w:p>
    <w:p>
      <w:pPr>
        <w:pStyle w:val="Normal"/>
        <w:spacing w:lineRule="auto" w:line="360" w:before="240" w:after="240"/>
        <w:jc w:val="both"/>
        <w:rPr>
          <w:i/>
          <w:i/>
        </w:rPr>
      </w:pPr>
      <w:r>
        <w:rPr/>
        <w:drawing>
          <wp:inline distT="0" distB="0" distL="0" distR="0">
            <wp:extent cx="5731510" cy="3733800"/>
            <wp:effectExtent l="0" t="0" r="0" b="0"/>
            <wp:docPr id="3" name="image4.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png" descr=""/>
                    <pic:cNvPicPr>
                      <a:picLocks noChangeAspect="1" noChangeArrowheads="1"/>
                    </pic:cNvPicPr>
                  </pic:nvPicPr>
                  <pic:blipFill>
                    <a:blip r:embed="rId4"/>
                    <a:stretch>
                      <a:fillRect/>
                    </a:stretch>
                  </pic:blipFill>
                  <pic:spPr bwMode="auto">
                    <a:xfrm>
                      <a:off x="0" y="0"/>
                      <a:ext cx="5731510" cy="3733800"/>
                    </a:xfrm>
                    <a:prstGeom prst="rect">
                      <a:avLst/>
                    </a:prstGeom>
                  </pic:spPr>
                </pic:pic>
              </a:graphicData>
            </a:graphic>
          </wp:inline>
        </w:drawing>
      </w:r>
    </w:p>
    <w:p>
      <w:pPr>
        <w:pStyle w:val="Normal"/>
        <w:spacing w:lineRule="auto" w:line="360"/>
        <w:jc w:val="both"/>
        <w:rPr>
          <w:i/>
          <w:i/>
          <w:sz w:val="20"/>
          <w:szCs w:val="20"/>
        </w:rPr>
      </w:pPr>
      <w:r>
        <w:rPr>
          <w:b/>
          <w:i/>
          <w:sz w:val="20"/>
          <w:szCs w:val="20"/>
        </w:rPr>
        <w:t>Supplementary Figure 2:</w:t>
      </w:r>
      <w:r>
        <w:rPr>
          <w:i/>
          <w:sz w:val="20"/>
          <w:szCs w:val="20"/>
        </w:rPr>
        <w:t xml:space="preserve"> </w:t>
      </w:r>
      <w:r>
        <w:rPr>
          <w:b/>
          <w:i/>
          <w:sz w:val="20"/>
          <w:szCs w:val="20"/>
        </w:rPr>
        <w:t xml:space="preserve">SCORE binding assay of MIPD- and MIEA-derived </w:t>
      </w:r>
      <w:r>
        <w:rPr>
          <w:b/>
          <w:i/>
          <w:color w:val="000000"/>
          <w:sz w:val="20"/>
          <w:szCs w:val="20"/>
        </w:rPr>
        <w:t>L-</w:t>
      </w:r>
      <w:r>
        <w:rPr>
          <w:b/>
          <w:i/>
          <w:sz w:val="20"/>
          <w:szCs w:val="20"/>
        </w:rPr>
        <w:t xml:space="preserve">peptide ligands to </w:t>
      </w:r>
      <w:r>
        <w:rPr>
          <w:b/>
          <w:i/>
          <w:color w:val="000000"/>
          <w:sz w:val="20"/>
          <w:szCs w:val="20"/>
        </w:rPr>
        <w:t>L-</w:t>
      </w:r>
      <w:r>
        <w:rPr>
          <w:b/>
          <w:i/>
          <w:sz w:val="20"/>
          <w:szCs w:val="20"/>
        </w:rPr>
        <w:t xml:space="preserve">PSMα3. </w:t>
      </w:r>
      <w:r>
        <w:rPr>
          <w:i/>
          <w:sz w:val="20"/>
          <w:szCs w:val="20"/>
        </w:rPr>
        <w:t>The mean intensities of four spots (EA2) and 2 spots (scrambled, MIPD27) with standard deviation are depicted. Two spots of MIPD27 were excluded due to potential immobilization issues.</w:t>
      </w:r>
    </w:p>
    <w:p>
      <w:pPr>
        <w:pStyle w:val="Normal"/>
        <w:spacing w:lineRule="auto" w:line="360"/>
        <w:jc w:val="both"/>
        <w:rPr>
          <w:i/>
          <w:i/>
        </w:rPr>
      </w:pPr>
      <w:r>
        <w:rPr>
          <w:i/>
        </w:rPr>
      </w:r>
    </w:p>
    <w:p>
      <w:pPr>
        <w:pStyle w:val="Normal"/>
        <w:widowControl w:val="false"/>
        <w:spacing w:lineRule="auto" w:line="360" w:before="0" w:after="240"/>
        <w:rPr>
          <w:b/>
          <w:b/>
          <w:i/>
          <w:i/>
          <w:sz w:val="20"/>
          <w:szCs w:val="20"/>
        </w:rPr>
      </w:pPr>
      <w:r>
        <w:rPr>
          <w:b/>
          <w:i/>
          <w:sz w:val="20"/>
          <w:szCs w:val="20"/>
        </w:rPr>
      </w:r>
    </w:p>
    <w:p>
      <w:pPr>
        <w:pStyle w:val="Normal"/>
        <w:widowControl w:val="false"/>
        <w:spacing w:lineRule="auto" w:line="360" w:before="0" w:after="240"/>
        <w:rPr>
          <w:b/>
          <w:b/>
          <w:i/>
          <w:i/>
          <w:sz w:val="20"/>
          <w:szCs w:val="20"/>
        </w:rPr>
      </w:pPr>
      <w:r>
        <w:rPr/>
        <w:drawing>
          <wp:inline distT="0" distB="0" distL="0" distR="0">
            <wp:extent cx="5731510" cy="3848100"/>
            <wp:effectExtent l="0" t="0" r="0" b="0"/>
            <wp:docPr id="4" name="image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png" descr=""/>
                    <pic:cNvPicPr>
                      <a:picLocks noChangeAspect="1" noChangeArrowheads="1"/>
                    </pic:cNvPicPr>
                  </pic:nvPicPr>
                  <pic:blipFill>
                    <a:blip r:embed="rId5"/>
                    <a:stretch>
                      <a:fillRect/>
                    </a:stretch>
                  </pic:blipFill>
                  <pic:spPr bwMode="auto">
                    <a:xfrm>
                      <a:off x="0" y="0"/>
                      <a:ext cx="5731510" cy="3848100"/>
                    </a:xfrm>
                    <a:prstGeom prst="rect">
                      <a:avLst/>
                    </a:prstGeom>
                  </pic:spPr>
                </pic:pic>
              </a:graphicData>
            </a:graphic>
          </wp:inline>
        </w:drawing>
      </w:r>
    </w:p>
    <w:p>
      <w:pPr>
        <w:pStyle w:val="Normal"/>
        <w:spacing w:lineRule="auto" w:line="331"/>
        <w:rPr>
          <w:color w:val="000000"/>
        </w:rPr>
      </w:pPr>
      <w:r>
        <w:rPr>
          <w:b/>
          <w:i/>
          <w:color w:val="000000"/>
          <w:sz w:val="20"/>
          <w:szCs w:val="20"/>
        </w:rPr>
        <w:t xml:space="preserve">Supplementary Figure 3: In silico docking-based assessment of ligand stereospecificity. </w:t>
      </w:r>
      <w:r>
        <w:rPr>
          <w:i/>
          <w:color w:val="000000"/>
          <w:sz w:val="20"/>
          <w:szCs w:val="20"/>
        </w:rPr>
        <w:t>The ligand L-EA2 was docked to D-PSMα3 and L-PSMα3 and the ligand L-DNRGSHFWLTKF was docked to D-ErbB2/L-ErbB2 using a gridbox, centered on the ErbB2 binding cleft area as used in Figures 8 E and F.  A: Binding energies obtained from docking simulations are given in kcal/mol B: Predicted binding poses of L-EA2 (orange) to D-PSMα3 (blue) and L-PSMα3 (violet). C: Predicted binding poses of L-DNRGSHFWLTKF (orange) to D-ErbB2 (blue) and L-ErbB2 (violet), gridbox not shown. Top: whole molecule view, Bottom: Zoom-in on ErbB2 binding cleft.</w:t>
      </w:r>
      <w:r>
        <w:rPr>
          <w:color w:val="000000"/>
          <w:sz w:val="20"/>
          <w:szCs w:val="20"/>
        </w:rPr>
        <w:t xml:space="preserve"> </w:t>
      </w:r>
      <w:r>
        <w:rPr>
          <w:color w:val="000000"/>
          <w:sz w:val="20"/>
          <w:szCs w:val="20"/>
        </w:rPr>
        <w:b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60"/>
        <w:jc w:val="both"/>
        <w:rPr>
          <w:i/>
          <w:i/>
        </w:rPr>
      </w:pPr>
      <w:r>
        <w:rPr>
          <w:i/>
        </w:rPr>
      </w:r>
    </w:p>
    <w:p>
      <w:pPr>
        <w:pStyle w:val="Normal"/>
        <w:spacing w:lineRule="auto" w:line="331"/>
        <w:rPr>
          <w:b/>
          <w:b/>
          <w:i/>
          <w:i/>
          <w:color w:val="FF0000"/>
          <w:sz w:val="20"/>
          <w:szCs w:val="20"/>
        </w:rPr>
      </w:pPr>
      <w:r>
        <w:rPr/>
        <w:drawing>
          <wp:inline distT="0" distB="0" distL="0" distR="0">
            <wp:extent cx="5731510" cy="6959600"/>
            <wp:effectExtent l="0" t="0" r="0" b="0"/>
            <wp:docPr id="5" name="image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png" descr=""/>
                    <pic:cNvPicPr>
                      <a:picLocks noChangeAspect="1" noChangeArrowheads="1"/>
                    </pic:cNvPicPr>
                  </pic:nvPicPr>
                  <pic:blipFill>
                    <a:blip r:embed="rId6"/>
                    <a:stretch>
                      <a:fillRect/>
                    </a:stretch>
                  </pic:blipFill>
                  <pic:spPr bwMode="auto">
                    <a:xfrm>
                      <a:off x="0" y="0"/>
                      <a:ext cx="5731510" cy="6959600"/>
                    </a:xfrm>
                    <a:prstGeom prst="rect">
                      <a:avLst/>
                    </a:prstGeom>
                  </pic:spPr>
                </pic:pic>
              </a:graphicData>
            </a:graphic>
          </wp:inline>
        </w:drawing>
      </w:r>
    </w:p>
    <w:p>
      <w:pPr>
        <w:pStyle w:val="Normal"/>
        <w:spacing w:lineRule="auto" w:line="331"/>
        <w:rPr>
          <w:i/>
          <w:i/>
        </w:rPr>
      </w:pPr>
      <w:r>
        <w:rPr>
          <w:b/>
          <w:i/>
          <w:color w:val="000000"/>
          <w:sz w:val="20"/>
          <w:szCs w:val="20"/>
        </w:rPr>
        <w:t xml:space="preserve">Supplementary Figure 4: finDr workflow. </w:t>
      </w:r>
      <w:r>
        <w:rPr>
          <w:i/>
          <w:color w:val="000000"/>
          <w:sz w:val="20"/>
          <w:szCs w:val="20"/>
        </w:rPr>
        <w:t>User uploads the target structure. The structure is prepared for further analysis by removal of DNA and RNA atoms, conversion of non-standard amino acids into their canonical equivalent and adding of missing residues. Then, the user sets a target residue and gridbox, before deciding between L- or D- peptide drug design. User finally chooses MIVS or MIEA and sets the according docking simulation parameters. When computing power is available, either MIVS or MIEA is performed. Finally, the user gets notified about the completion of the job and can view results online as well as be able to download relevant data.</w:t>
      </w:r>
    </w:p>
    <w:p>
      <w:pPr>
        <w:pStyle w:val="Normal"/>
        <w:spacing w:lineRule="auto" w:line="360"/>
        <w:jc w:val="both"/>
        <w:rPr>
          <w:i/>
          <w:i/>
          <w:color w:val="000000"/>
        </w:rPr>
      </w:pPr>
      <w:r>
        <w:rPr>
          <w:i/>
          <w:color w:val="000000"/>
        </w:rPr>
      </w:r>
    </w:p>
    <w:p>
      <w:pPr>
        <w:pStyle w:val="Normal"/>
        <w:spacing w:lineRule="auto" w:line="360"/>
        <w:jc w:val="both"/>
        <w:rPr>
          <w:i/>
          <w:i/>
        </w:rPr>
      </w:pPr>
      <w:r>
        <w:rPr>
          <w:i/>
        </w:rPr>
      </w:r>
    </w:p>
    <w:p>
      <w:pPr>
        <w:pStyle w:val="Normal"/>
        <w:jc w:val="both"/>
        <w:rPr>
          <w:b/>
          <w:b/>
        </w:rPr>
      </w:pPr>
      <w:r>
        <w:rPr>
          <w:b/>
          <w:sz w:val="20"/>
          <w:szCs w:val="20"/>
        </w:rPr>
        <w:t xml:space="preserve">Supplementary Table 1: </w:t>
      </w:r>
      <w:r>
        <w:rPr>
          <w:sz w:val="20"/>
          <w:szCs w:val="20"/>
        </w:rPr>
        <w:t>Formylmethionine (Fme) forcefield parameters in Gromacs format</w:t>
      </w:r>
      <w:r>
        <w:rPr/>
        <w:br/>
      </w:r>
      <w:r>
        <w:rPr>
          <w:b/>
        </w:rPr>
        <w:br/>
      </w:r>
    </w:p>
    <w:p>
      <w:pPr>
        <w:pStyle w:val="Normal"/>
        <w:jc w:val="both"/>
        <w:rPr>
          <w:b/>
          <w:b/>
          <w:sz w:val="24"/>
          <w:szCs w:val="24"/>
        </w:rPr>
      </w:pPr>
      <w:r>
        <w:rPr>
          <w:b/>
          <w:sz w:val="24"/>
          <w:szCs w:val="24"/>
        </w:rPr>
        <w:t>[ NFME ]</w:t>
      </w:r>
    </w:p>
    <w:p>
      <w:pPr>
        <w:pStyle w:val="Normal"/>
        <w:jc w:val="both"/>
        <w:rPr>
          <w:b/>
          <w:b/>
          <w:sz w:val="24"/>
          <w:szCs w:val="24"/>
        </w:rPr>
      </w:pPr>
      <w:r>
        <w:rPr>
          <w:b/>
          <w:sz w:val="24"/>
          <w:szCs w:val="24"/>
        </w:rPr>
        <w:t xml:space="preserve"> </w:t>
      </w:r>
      <w:r>
        <w:rPr>
          <w:b/>
          <w:sz w:val="24"/>
          <w:szCs w:val="24"/>
        </w:rPr>
        <w:t>[ atoms ]</w:t>
      </w:r>
    </w:p>
    <w:p>
      <w:pPr>
        <w:pStyle w:val="Normal"/>
        <w:jc w:val="both"/>
        <w:rPr>
          <w:b/>
          <w:b/>
          <w:sz w:val="24"/>
          <w:szCs w:val="24"/>
        </w:rPr>
      </w:pPr>
      <w:r>
        <w:rPr>
          <w:b/>
          <w:sz w:val="24"/>
          <w:szCs w:val="24"/>
        </w:rPr>
        <w:t xml:space="preserve"> </w:t>
      </w:r>
      <w:r>
        <w:rPr>
          <w:b/>
          <w:sz w:val="24"/>
          <w:szCs w:val="24"/>
        </w:rPr>
        <w:tab/>
        <w:t>N</w:t>
        <w:tab/>
        <w:t>N</w:t>
        <w:tab/>
        <w:t>-0.572522</w:t>
        <w:tab/>
        <w:t>1</w:t>
      </w:r>
    </w:p>
    <w:p>
      <w:pPr>
        <w:pStyle w:val="Normal"/>
        <w:jc w:val="both"/>
        <w:rPr>
          <w:b/>
          <w:b/>
          <w:sz w:val="24"/>
          <w:szCs w:val="24"/>
        </w:rPr>
      </w:pPr>
      <w:r>
        <w:rPr>
          <w:b/>
          <w:sz w:val="24"/>
          <w:szCs w:val="24"/>
        </w:rPr>
        <w:t xml:space="preserve"> </w:t>
      </w:r>
      <w:r>
        <w:rPr>
          <w:b/>
          <w:sz w:val="24"/>
          <w:szCs w:val="24"/>
        </w:rPr>
        <w:tab/>
        <w:t>H</w:t>
        <w:tab/>
        <w:t>H</w:t>
        <w:tab/>
        <w:t>0.322879</w:t>
        <w:tab/>
        <w:t>2</w:t>
      </w:r>
    </w:p>
    <w:p>
      <w:pPr>
        <w:pStyle w:val="Normal"/>
        <w:jc w:val="both"/>
        <w:rPr>
          <w:b/>
          <w:b/>
          <w:sz w:val="24"/>
          <w:szCs w:val="24"/>
        </w:rPr>
      </w:pPr>
      <w:r>
        <w:rPr>
          <w:b/>
          <w:sz w:val="24"/>
          <w:szCs w:val="24"/>
        </w:rPr>
        <w:tab/>
        <w:t>CA</w:t>
        <w:tab/>
        <w:t>CT</w:t>
        <w:tab/>
        <w:t>-0.017921</w:t>
        <w:tab/>
        <w:t>3</w:t>
      </w:r>
    </w:p>
    <w:p>
      <w:pPr>
        <w:pStyle w:val="Normal"/>
        <w:jc w:val="both"/>
        <w:rPr>
          <w:b/>
          <w:b/>
          <w:sz w:val="24"/>
          <w:szCs w:val="24"/>
        </w:rPr>
      </w:pPr>
      <w:r>
        <w:rPr>
          <w:b/>
          <w:sz w:val="24"/>
          <w:szCs w:val="24"/>
        </w:rPr>
        <w:tab/>
        <w:t>CN</w:t>
        <w:tab/>
        <w:t>C</w:t>
        <w:tab/>
        <w:t xml:space="preserve">0.662279   </w:t>
        <w:tab/>
        <w:t>18</w:t>
      </w:r>
    </w:p>
    <w:p>
      <w:pPr>
        <w:pStyle w:val="Normal"/>
        <w:jc w:val="both"/>
        <w:rPr>
          <w:b/>
          <w:b/>
          <w:sz w:val="24"/>
          <w:szCs w:val="24"/>
        </w:rPr>
      </w:pPr>
      <w:r>
        <w:rPr>
          <w:b/>
          <w:sz w:val="24"/>
          <w:szCs w:val="24"/>
        </w:rPr>
        <w:tab/>
        <w:t>HF</w:t>
        <w:tab/>
        <w:t>H5</w:t>
        <w:tab/>
        <w:t xml:space="preserve">0.034579   </w:t>
        <w:tab/>
        <w:t>19</w:t>
      </w:r>
    </w:p>
    <w:p>
      <w:pPr>
        <w:pStyle w:val="Normal"/>
        <w:jc w:val="both"/>
        <w:rPr>
          <w:b/>
          <w:b/>
          <w:sz w:val="24"/>
          <w:szCs w:val="24"/>
        </w:rPr>
      </w:pPr>
      <w:r>
        <w:rPr>
          <w:b/>
          <w:sz w:val="24"/>
          <w:szCs w:val="24"/>
        </w:rPr>
        <w:tab/>
        <w:t>OF</w:t>
        <w:tab/>
        <w:t>O</w:t>
        <w:tab/>
        <w:t xml:space="preserve">-0.607721   </w:t>
        <w:tab/>
        <w:t>20</w:t>
      </w:r>
    </w:p>
    <w:p>
      <w:pPr>
        <w:pStyle w:val="Normal"/>
        <w:jc w:val="both"/>
        <w:rPr>
          <w:b/>
          <w:b/>
          <w:sz w:val="24"/>
          <w:szCs w:val="24"/>
        </w:rPr>
      </w:pPr>
      <w:r>
        <w:rPr>
          <w:b/>
          <w:sz w:val="24"/>
          <w:szCs w:val="24"/>
        </w:rPr>
        <w:tab/>
        <w:t>HA</w:t>
        <w:tab/>
        <w:t>H1</w:t>
        <w:tab/>
        <w:t>0.105079</w:t>
        <w:tab/>
        <w:t>4</w:t>
      </w:r>
    </w:p>
    <w:p>
      <w:pPr>
        <w:pStyle w:val="Normal"/>
        <w:jc w:val="both"/>
        <w:rPr>
          <w:b/>
          <w:b/>
          <w:sz w:val="24"/>
          <w:szCs w:val="24"/>
        </w:rPr>
      </w:pPr>
      <w:r>
        <w:rPr>
          <w:b/>
          <w:sz w:val="24"/>
          <w:szCs w:val="24"/>
        </w:rPr>
        <w:tab/>
        <w:t>CB</w:t>
        <w:tab/>
        <w:t>CT</w:t>
        <w:tab/>
        <w:t>0.028048</w:t>
        <w:tab/>
        <w:t>5</w:t>
      </w:r>
    </w:p>
    <w:p>
      <w:pPr>
        <w:pStyle w:val="Normal"/>
        <w:jc w:val="both"/>
        <w:rPr>
          <w:b/>
          <w:b/>
          <w:sz w:val="24"/>
          <w:szCs w:val="24"/>
        </w:rPr>
      </w:pPr>
      <w:r>
        <w:rPr>
          <w:b/>
          <w:sz w:val="24"/>
          <w:szCs w:val="24"/>
        </w:rPr>
        <w:t xml:space="preserve">  </w:t>
      </w:r>
      <w:r>
        <w:rPr>
          <w:b/>
          <w:sz w:val="24"/>
          <w:szCs w:val="24"/>
        </w:rPr>
        <w:tab/>
        <w:t>HB1</w:t>
        <w:tab/>
        <w:t>HC</w:t>
        <w:tab/>
        <w:t xml:space="preserve">0.02410 </w:t>
        <w:tab/>
        <w:t>6</w:t>
      </w:r>
    </w:p>
    <w:p>
      <w:pPr>
        <w:pStyle w:val="Normal"/>
        <w:ind w:firstLine="720"/>
        <w:jc w:val="both"/>
        <w:rPr>
          <w:b/>
          <w:b/>
          <w:sz w:val="24"/>
          <w:szCs w:val="24"/>
        </w:rPr>
      </w:pPr>
      <w:r>
        <w:rPr>
          <w:b/>
          <w:sz w:val="24"/>
          <w:szCs w:val="24"/>
        </w:rPr>
        <w:t>HB2</w:t>
        <w:tab/>
        <w:t>HC</w:t>
        <w:tab/>
        <w:t xml:space="preserve">0.02410 </w:t>
        <w:tab/>
        <w:t>7</w:t>
      </w:r>
    </w:p>
    <w:p>
      <w:pPr>
        <w:pStyle w:val="Normal"/>
        <w:jc w:val="both"/>
        <w:rPr>
          <w:b/>
          <w:b/>
          <w:sz w:val="24"/>
          <w:szCs w:val="24"/>
        </w:rPr>
      </w:pPr>
      <w:r>
        <w:rPr>
          <w:b/>
          <w:sz w:val="24"/>
          <w:szCs w:val="24"/>
        </w:rPr>
        <w:tab/>
        <w:t>CG</w:t>
        <w:tab/>
        <w:t>CT</w:t>
        <w:tab/>
        <w:t xml:space="preserve">0.00180 </w:t>
        <w:tab/>
        <w:t>8</w:t>
      </w:r>
    </w:p>
    <w:p>
      <w:pPr>
        <w:pStyle w:val="Normal"/>
        <w:jc w:val="both"/>
        <w:rPr>
          <w:b/>
          <w:b/>
          <w:sz w:val="24"/>
          <w:szCs w:val="24"/>
        </w:rPr>
      </w:pPr>
      <w:r>
        <w:rPr>
          <w:b/>
          <w:sz w:val="24"/>
          <w:szCs w:val="24"/>
        </w:rPr>
        <w:t xml:space="preserve">   </w:t>
      </w:r>
      <w:r>
        <w:rPr>
          <w:b/>
          <w:sz w:val="24"/>
          <w:szCs w:val="24"/>
        </w:rPr>
        <w:tab/>
        <w:t>HG1</w:t>
        <w:tab/>
        <w:t>H1</w:t>
        <w:tab/>
        <w:t xml:space="preserve">0.04400 </w:t>
        <w:tab/>
        <w:t>9</w:t>
      </w:r>
    </w:p>
    <w:p>
      <w:pPr>
        <w:pStyle w:val="Normal"/>
        <w:jc w:val="both"/>
        <w:rPr>
          <w:b/>
          <w:b/>
          <w:sz w:val="24"/>
          <w:szCs w:val="24"/>
        </w:rPr>
      </w:pPr>
      <w:r>
        <w:rPr>
          <w:b/>
          <w:sz w:val="24"/>
          <w:szCs w:val="24"/>
        </w:rPr>
        <w:t xml:space="preserve">   </w:t>
      </w:r>
      <w:r>
        <w:rPr>
          <w:b/>
          <w:sz w:val="24"/>
          <w:szCs w:val="24"/>
        </w:rPr>
        <w:tab/>
        <w:t>HG2</w:t>
        <w:tab/>
        <w:t>H1</w:t>
        <w:tab/>
        <w:t>0.04400</w:t>
        <w:tab/>
        <w:t>10</w:t>
      </w:r>
    </w:p>
    <w:p>
      <w:pPr>
        <w:pStyle w:val="Normal"/>
        <w:jc w:val="both"/>
        <w:rPr>
          <w:b/>
          <w:b/>
          <w:sz w:val="24"/>
          <w:szCs w:val="24"/>
        </w:rPr>
      </w:pPr>
      <w:r>
        <w:rPr>
          <w:b/>
          <w:sz w:val="24"/>
          <w:szCs w:val="24"/>
        </w:rPr>
        <w:tab/>
        <w:t>SD</w:t>
        <w:tab/>
        <w:t>S</w:t>
        <w:tab/>
        <w:t>-0.27370</w:t>
        <w:tab/>
        <w:t>11</w:t>
      </w:r>
    </w:p>
    <w:p>
      <w:pPr>
        <w:pStyle w:val="Normal"/>
        <w:jc w:val="both"/>
        <w:rPr>
          <w:b/>
          <w:b/>
          <w:sz w:val="24"/>
          <w:szCs w:val="24"/>
        </w:rPr>
      </w:pPr>
      <w:r>
        <w:rPr>
          <w:b/>
          <w:sz w:val="24"/>
          <w:szCs w:val="24"/>
        </w:rPr>
        <w:tab/>
        <w:t>CE</w:t>
        <w:tab/>
        <w:t>CT</w:t>
        <w:tab/>
        <w:t>-0.05360</w:t>
        <w:tab/>
        <w:t>12</w:t>
      </w:r>
    </w:p>
    <w:p>
      <w:pPr>
        <w:pStyle w:val="Normal"/>
        <w:ind w:firstLine="720"/>
        <w:jc w:val="both"/>
        <w:rPr>
          <w:b/>
          <w:b/>
          <w:sz w:val="24"/>
          <w:szCs w:val="24"/>
        </w:rPr>
      </w:pPr>
      <w:r>
        <w:rPr>
          <w:b/>
          <w:sz w:val="24"/>
          <w:szCs w:val="24"/>
        </w:rPr>
        <w:t>HE1</w:t>
        <w:tab/>
        <w:t>H1</w:t>
        <w:tab/>
        <w:t>0.06840</w:t>
        <w:tab/>
        <w:t>13</w:t>
      </w:r>
    </w:p>
    <w:p>
      <w:pPr>
        <w:pStyle w:val="Normal"/>
        <w:ind w:firstLine="720"/>
        <w:jc w:val="both"/>
        <w:rPr>
          <w:b/>
          <w:b/>
          <w:sz w:val="24"/>
          <w:szCs w:val="24"/>
        </w:rPr>
      </w:pPr>
      <w:r>
        <w:rPr>
          <w:b/>
          <w:sz w:val="24"/>
          <w:szCs w:val="24"/>
        </w:rPr>
        <w:t>HE2</w:t>
        <w:tab/>
        <w:t>H1</w:t>
        <w:tab/>
        <w:t>0.06840</w:t>
        <w:tab/>
        <w:t>14</w:t>
      </w:r>
    </w:p>
    <w:p>
      <w:pPr>
        <w:pStyle w:val="Normal"/>
        <w:ind w:firstLine="720"/>
        <w:jc w:val="both"/>
        <w:rPr>
          <w:b/>
          <w:b/>
          <w:sz w:val="24"/>
          <w:szCs w:val="24"/>
        </w:rPr>
      </w:pPr>
      <w:r>
        <w:rPr>
          <w:b/>
          <w:sz w:val="24"/>
          <w:szCs w:val="24"/>
        </w:rPr>
        <w:t>HE3</w:t>
        <w:tab/>
        <w:t>H1</w:t>
        <w:tab/>
        <w:t>0.06840</w:t>
        <w:tab/>
        <w:t>15</w:t>
      </w:r>
    </w:p>
    <w:p>
      <w:pPr>
        <w:pStyle w:val="Normal"/>
        <w:jc w:val="both"/>
        <w:rPr>
          <w:b/>
          <w:b/>
          <w:sz w:val="24"/>
          <w:szCs w:val="24"/>
        </w:rPr>
      </w:pPr>
      <w:r>
        <w:rPr>
          <w:b/>
          <w:sz w:val="24"/>
          <w:szCs w:val="24"/>
        </w:rPr>
        <w:tab/>
        <w:t>C</w:t>
        <w:tab/>
        <w:t>C</w:t>
        <w:tab/>
        <w:t>0.59730</w:t>
        <w:tab/>
        <w:t>16</w:t>
      </w:r>
    </w:p>
    <w:p>
      <w:pPr>
        <w:pStyle w:val="Normal"/>
        <w:jc w:val="both"/>
        <w:rPr>
          <w:b/>
          <w:b/>
          <w:sz w:val="24"/>
          <w:szCs w:val="24"/>
        </w:rPr>
      </w:pPr>
      <w:r>
        <w:rPr>
          <w:b/>
          <w:sz w:val="24"/>
          <w:szCs w:val="24"/>
        </w:rPr>
        <w:tab/>
        <w:t>O</w:t>
        <w:tab/>
        <w:t>O</w:t>
        <w:tab/>
        <w:t>-0.56790</w:t>
        <w:tab/>
        <w:t>17</w:t>
      </w:r>
    </w:p>
    <w:p>
      <w:pPr>
        <w:pStyle w:val="Normal"/>
        <w:jc w:val="both"/>
        <w:rPr>
          <w:b/>
          <w:b/>
          <w:sz w:val="24"/>
          <w:szCs w:val="24"/>
        </w:rPr>
      </w:pPr>
      <w:r>
        <w:rPr>
          <w:b/>
          <w:sz w:val="24"/>
          <w:szCs w:val="24"/>
        </w:rPr>
        <w:t xml:space="preserve"> </w:t>
      </w:r>
      <w:r>
        <w:rPr>
          <w:b/>
          <w:sz w:val="24"/>
          <w:szCs w:val="24"/>
        </w:rPr>
        <w:t>[ bonds ]</w:t>
      </w:r>
    </w:p>
    <w:p>
      <w:pPr>
        <w:pStyle w:val="Normal"/>
        <w:jc w:val="both"/>
        <w:rPr>
          <w:b/>
          <w:b/>
          <w:sz w:val="24"/>
          <w:szCs w:val="24"/>
        </w:rPr>
      </w:pPr>
      <w:r>
        <w:rPr>
          <w:b/>
          <w:sz w:val="24"/>
          <w:szCs w:val="24"/>
        </w:rPr>
        <w:t xml:space="preserve"> </w:t>
      </w:r>
      <w:r>
        <w:rPr>
          <w:b/>
          <w:sz w:val="24"/>
          <w:szCs w:val="24"/>
        </w:rPr>
        <w:tab/>
        <w:t>N</w:t>
        <w:tab/>
        <w:t>CN</w:t>
      </w:r>
    </w:p>
    <w:p>
      <w:pPr>
        <w:pStyle w:val="Normal"/>
        <w:jc w:val="both"/>
        <w:rPr>
          <w:b/>
          <w:b/>
          <w:sz w:val="24"/>
          <w:szCs w:val="24"/>
        </w:rPr>
      </w:pPr>
      <w:r>
        <w:rPr>
          <w:b/>
          <w:sz w:val="24"/>
          <w:szCs w:val="24"/>
        </w:rPr>
        <w:t xml:space="preserve"> </w:t>
      </w:r>
      <w:r>
        <w:rPr>
          <w:b/>
          <w:sz w:val="24"/>
          <w:szCs w:val="24"/>
        </w:rPr>
        <w:tab/>
        <w:t xml:space="preserve">N </w:t>
        <w:tab/>
        <w:t>H</w:t>
      </w:r>
    </w:p>
    <w:p>
      <w:pPr>
        <w:pStyle w:val="Normal"/>
        <w:jc w:val="both"/>
        <w:rPr>
          <w:b/>
          <w:b/>
          <w:sz w:val="24"/>
          <w:szCs w:val="24"/>
        </w:rPr>
      </w:pPr>
      <w:r>
        <w:rPr>
          <w:b/>
          <w:sz w:val="24"/>
          <w:szCs w:val="24"/>
        </w:rPr>
        <w:t xml:space="preserve"> </w:t>
      </w:r>
      <w:r>
        <w:rPr>
          <w:b/>
          <w:sz w:val="24"/>
          <w:szCs w:val="24"/>
        </w:rPr>
        <w:tab/>
        <w:t>N</w:t>
        <w:tab/>
        <w:t>CA</w:t>
      </w:r>
    </w:p>
    <w:p>
      <w:pPr>
        <w:pStyle w:val="Normal"/>
        <w:jc w:val="both"/>
        <w:rPr>
          <w:b/>
          <w:b/>
          <w:sz w:val="24"/>
          <w:szCs w:val="24"/>
        </w:rPr>
      </w:pPr>
      <w:r>
        <w:rPr>
          <w:b/>
          <w:sz w:val="24"/>
          <w:szCs w:val="24"/>
        </w:rPr>
        <w:tab/>
        <w:t>CN</w:t>
        <w:tab/>
        <w:t>OF</w:t>
      </w:r>
    </w:p>
    <w:p>
      <w:pPr>
        <w:pStyle w:val="Normal"/>
        <w:jc w:val="both"/>
        <w:rPr>
          <w:b/>
          <w:b/>
          <w:sz w:val="24"/>
          <w:szCs w:val="24"/>
        </w:rPr>
      </w:pPr>
      <w:r>
        <w:rPr>
          <w:b/>
          <w:sz w:val="24"/>
          <w:szCs w:val="24"/>
        </w:rPr>
        <w:tab/>
        <w:t>CN</w:t>
        <w:tab/>
        <w:t>HF</w:t>
      </w:r>
    </w:p>
    <w:p>
      <w:pPr>
        <w:pStyle w:val="Normal"/>
        <w:jc w:val="both"/>
        <w:rPr>
          <w:b/>
          <w:b/>
          <w:sz w:val="24"/>
          <w:szCs w:val="24"/>
        </w:rPr>
      </w:pPr>
      <w:r>
        <w:rPr>
          <w:b/>
          <w:sz w:val="24"/>
          <w:szCs w:val="24"/>
        </w:rPr>
        <w:tab/>
        <w:t>CA</w:t>
        <w:tab/>
        <w:t>HA</w:t>
      </w:r>
    </w:p>
    <w:p>
      <w:pPr>
        <w:pStyle w:val="Normal"/>
        <w:jc w:val="both"/>
        <w:rPr>
          <w:b/>
          <w:b/>
          <w:sz w:val="24"/>
          <w:szCs w:val="24"/>
        </w:rPr>
      </w:pPr>
      <w:r>
        <w:rPr>
          <w:b/>
          <w:sz w:val="24"/>
          <w:szCs w:val="24"/>
        </w:rPr>
        <w:tab/>
        <w:t>CA</w:t>
        <w:tab/>
        <w:t>CB</w:t>
      </w:r>
    </w:p>
    <w:p>
      <w:pPr>
        <w:pStyle w:val="Normal"/>
        <w:jc w:val="both"/>
        <w:rPr>
          <w:b/>
          <w:b/>
          <w:sz w:val="24"/>
          <w:szCs w:val="24"/>
        </w:rPr>
      </w:pPr>
      <w:r>
        <w:rPr>
          <w:b/>
          <w:sz w:val="24"/>
          <w:szCs w:val="24"/>
        </w:rPr>
        <w:tab/>
        <w:t xml:space="preserve">CA </w:t>
        <w:tab/>
        <w:t>C</w:t>
      </w:r>
    </w:p>
    <w:p>
      <w:pPr>
        <w:pStyle w:val="Normal"/>
        <w:jc w:val="both"/>
        <w:rPr>
          <w:b/>
          <w:b/>
          <w:sz w:val="24"/>
          <w:szCs w:val="24"/>
        </w:rPr>
      </w:pPr>
      <w:r>
        <w:rPr>
          <w:b/>
          <w:sz w:val="24"/>
          <w:szCs w:val="24"/>
        </w:rPr>
        <w:tab/>
        <w:t>CB   HB1</w:t>
      </w:r>
    </w:p>
    <w:p>
      <w:pPr>
        <w:pStyle w:val="Normal"/>
        <w:jc w:val="both"/>
        <w:rPr>
          <w:b/>
          <w:b/>
          <w:sz w:val="24"/>
          <w:szCs w:val="24"/>
        </w:rPr>
      </w:pPr>
      <w:r>
        <w:rPr>
          <w:b/>
          <w:sz w:val="24"/>
          <w:szCs w:val="24"/>
        </w:rPr>
        <w:tab/>
        <w:t>CB   HB2</w:t>
      </w:r>
    </w:p>
    <w:p>
      <w:pPr>
        <w:pStyle w:val="Normal"/>
        <w:jc w:val="both"/>
        <w:rPr>
          <w:b/>
          <w:b/>
          <w:sz w:val="24"/>
          <w:szCs w:val="24"/>
        </w:rPr>
      </w:pPr>
      <w:r>
        <w:rPr>
          <w:b/>
          <w:sz w:val="24"/>
          <w:szCs w:val="24"/>
        </w:rPr>
        <w:tab/>
        <w:t>CB</w:t>
        <w:tab/>
        <w:t>CG</w:t>
      </w:r>
    </w:p>
    <w:p>
      <w:pPr>
        <w:pStyle w:val="Normal"/>
        <w:jc w:val="both"/>
        <w:rPr>
          <w:b/>
          <w:b/>
          <w:sz w:val="24"/>
          <w:szCs w:val="24"/>
        </w:rPr>
      </w:pPr>
      <w:r>
        <w:rPr>
          <w:b/>
          <w:sz w:val="24"/>
          <w:szCs w:val="24"/>
        </w:rPr>
        <w:tab/>
        <w:t>CG   HG1</w:t>
      </w:r>
    </w:p>
    <w:p>
      <w:pPr>
        <w:pStyle w:val="Normal"/>
        <w:jc w:val="both"/>
        <w:rPr>
          <w:b/>
          <w:b/>
          <w:sz w:val="24"/>
          <w:szCs w:val="24"/>
        </w:rPr>
      </w:pPr>
      <w:r>
        <w:rPr>
          <w:b/>
          <w:sz w:val="24"/>
          <w:szCs w:val="24"/>
        </w:rPr>
        <w:tab/>
        <w:t>CG   HG2</w:t>
      </w:r>
    </w:p>
    <w:p>
      <w:pPr>
        <w:pStyle w:val="Normal"/>
        <w:jc w:val="both"/>
        <w:rPr>
          <w:b/>
          <w:b/>
          <w:sz w:val="24"/>
          <w:szCs w:val="24"/>
        </w:rPr>
      </w:pPr>
      <w:r>
        <w:rPr>
          <w:b/>
          <w:sz w:val="24"/>
          <w:szCs w:val="24"/>
        </w:rPr>
        <w:tab/>
        <w:t>CG</w:t>
        <w:tab/>
        <w:t>SD</w:t>
      </w:r>
    </w:p>
    <w:p>
      <w:pPr>
        <w:pStyle w:val="Normal"/>
        <w:jc w:val="both"/>
        <w:rPr>
          <w:b/>
          <w:b/>
          <w:sz w:val="24"/>
          <w:szCs w:val="24"/>
        </w:rPr>
      </w:pPr>
      <w:r>
        <w:rPr>
          <w:b/>
          <w:sz w:val="24"/>
          <w:szCs w:val="24"/>
        </w:rPr>
        <w:tab/>
        <w:t>SD</w:t>
        <w:tab/>
        <w:t>CE</w:t>
      </w:r>
    </w:p>
    <w:p>
      <w:pPr>
        <w:pStyle w:val="Normal"/>
        <w:jc w:val="both"/>
        <w:rPr>
          <w:b/>
          <w:b/>
          <w:sz w:val="24"/>
          <w:szCs w:val="24"/>
        </w:rPr>
      </w:pPr>
      <w:r>
        <w:rPr>
          <w:b/>
          <w:sz w:val="24"/>
          <w:szCs w:val="24"/>
        </w:rPr>
        <w:tab/>
        <w:t>CE   HE1</w:t>
      </w:r>
    </w:p>
    <w:p>
      <w:pPr>
        <w:pStyle w:val="Normal"/>
        <w:jc w:val="both"/>
        <w:rPr>
          <w:b/>
          <w:b/>
          <w:sz w:val="24"/>
          <w:szCs w:val="24"/>
        </w:rPr>
      </w:pPr>
      <w:r>
        <w:rPr>
          <w:b/>
          <w:sz w:val="24"/>
          <w:szCs w:val="24"/>
        </w:rPr>
        <w:tab/>
        <w:t>CE   HE2</w:t>
      </w:r>
    </w:p>
    <w:p>
      <w:pPr>
        <w:pStyle w:val="Normal"/>
        <w:jc w:val="both"/>
        <w:rPr>
          <w:b/>
          <w:b/>
          <w:sz w:val="24"/>
          <w:szCs w:val="24"/>
        </w:rPr>
      </w:pPr>
      <w:r>
        <w:rPr>
          <w:b/>
          <w:sz w:val="24"/>
          <w:szCs w:val="24"/>
        </w:rPr>
        <w:tab/>
        <w:t>CE   HE3</w:t>
      </w:r>
    </w:p>
    <w:p>
      <w:pPr>
        <w:pStyle w:val="Normal"/>
        <w:jc w:val="both"/>
        <w:rPr>
          <w:b/>
          <w:b/>
          <w:sz w:val="24"/>
          <w:szCs w:val="24"/>
        </w:rPr>
      </w:pPr>
      <w:r>
        <w:rPr>
          <w:b/>
          <w:sz w:val="24"/>
          <w:szCs w:val="24"/>
        </w:rPr>
        <w:t xml:space="preserve"> </w:t>
      </w:r>
      <w:r>
        <w:rPr>
          <w:b/>
          <w:sz w:val="24"/>
          <w:szCs w:val="24"/>
        </w:rPr>
        <w:tab/>
        <w:t xml:space="preserve">C </w:t>
        <w:tab/>
        <w:t>O</w:t>
      </w:r>
    </w:p>
    <w:p>
      <w:pPr>
        <w:pStyle w:val="Normal"/>
        <w:jc w:val="both"/>
        <w:rPr>
          <w:b/>
          <w:b/>
          <w:sz w:val="24"/>
          <w:szCs w:val="24"/>
        </w:rPr>
      </w:pPr>
      <w:r>
        <w:rPr>
          <w:b/>
          <w:sz w:val="24"/>
          <w:szCs w:val="24"/>
        </w:rPr>
        <w:t xml:space="preserve"> </w:t>
      </w:r>
      <w:r>
        <w:rPr>
          <w:b/>
          <w:sz w:val="24"/>
          <w:szCs w:val="24"/>
        </w:rPr>
        <w:t>[ impropers ]</w:t>
      </w:r>
    </w:p>
    <w:p>
      <w:pPr>
        <w:pStyle w:val="Normal"/>
        <w:jc w:val="both"/>
        <w:rPr>
          <w:b/>
          <w:b/>
          <w:sz w:val="24"/>
          <w:szCs w:val="24"/>
        </w:rPr>
      </w:pPr>
      <w:r>
        <w:rPr>
          <w:b/>
          <w:sz w:val="24"/>
          <w:szCs w:val="24"/>
        </w:rPr>
        <w:tab/>
        <w:t>HF</w:t>
        <w:tab/>
        <w:t>CN</w:t>
        <w:tab/>
        <w:t xml:space="preserve">OF </w:t>
        <w:tab/>
        <w:t>N</w:t>
      </w:r>
    </w:p>
    <w:p>
      <w:pPr>
        <w:pStyle w:val="Normal"/>
        <w:jc w:val="both"/>
        <w:rPr>
          <w:b/>
          <w:b/>
          <w:sz w:val="24"/>
          <w:szCs w:val="24"/>
        </w:rPr>
      </w:pPr>
      <w:r>
        <w:rPr>
          <w:b/>
          <w:sz w:val="24"/>
          <w:szCs w:val="24"/>
        </w:rPr>
        <w:tab/>
        <w:t xml:space="preserve">CA </w:t>
        <w:tab/>
        <w:t xml:space="preserve">H </w:t>
        <w:tab/>
        <w:t>N</w:t>
        <w:tab/>
        <w:t>CN</w:t>
      </w:r>
    </w:p>
    <w:p>
      <w:pPr>
        <w:pStyle w:val="Normal"/>
        <w:jc w:val="both"/>
        <w:rPr>
          <w:b/>
          <w:b/>
          <w:sz w:val="24"/>
          <w:szCs w:val="24"/>
        </w:rPr>
      </w:pPr>
      <w:r>
        <w:rPr>
          <w:b/>
          <w:sz w:val="24"/>
          <w:szCs w:val="24"/>
        </w:rPr>
        <w:tab/>
        <w:t>CA</w:t>
        <w:tab/>
        <w:t xml:space="preserve">+N </w:t>
        <w:tab/>
        <w:t xml:space="preserve">C </w:t>
        <w:tab/>
        <w:t>O</w:t>
      </w:r>
    </w:p>
    <w:p>
      <w:pPr>
        <w:pStyle w:val="Normal"/>
        <w:jc w:val="both"/>
        <w:rPr>
          <w:b/>
          <w:b/>
          <w:sz w:val="24"/>
          <w:szCs w:val="24"/>
        </w:rPr>
      </w:pPr>
      <w:r>
        <w:rPr>
          <w:b/>
          <w:sz w:val="24"/>
          <w:szCs w:val="24"/>
        </w:rPr>
        <w:tab/>
        <w:t xml:space="preserve">N </w:t>
        <w:tab/>
        <w:t xml:space="preserve">CA </w:t>
        <w:tab/>
        <w:t>C</w:t>
        <w:tab/>
        <w:t>+N</w:t>
        <w:tab/>
        <w:t xml:space="preserve">105.4   </w:t>
        <w:tab/>
        <w:t xml:space="preserve">0.75   </w:t>
        <w:tab/>
        <w:t>1</w:t>
      </w:r>
    </w:p>
    <w:p>
      <w:pPr>
        <w:pStyle w:val="Normal"/>
        <w:jc w:val="both"/>
        <w:rPr>
          <w:b/>
          <w:b/>
          <w:sz w:val="24"/>
          <w:szCs w:val="24"/>
        </w:rPr>
      </w:pPr>
      <w:r>
        <w:rPr>
          <w:b/>
          <w:sz w:val="24"/>
          <w:szCs w:val="24"/>
        </w:rPr>
      </w:r>
    </w:p>
    <w:p>
      <w:pPr>
        <w:pStyle w:val="Normal"/>
        <w:spacing w:lineRule="auto" w:line="360"/>
        <w:jc w:val="both"/>
        <w:rPr>
          <w:i/>
          <w:i/>
        </w:rPr>
      </w:pPr>
      <w:r>
        <w:rPr>
          <w:i/>
        </w:rPr>
      </w:r>
    </w:p>
    <w:p>
      <w:pPr>
        <w:pStyle w:val="Normal"/>
        <w:rPr>
          <w:b/>
          <w:b/>
        </w:rPr>
      </w:pPr>
      <w:r>
        <w:rPr>
          <w:b/>
        </w:rPr>
      </w:r>
    </w:p>
    <w:p>
      <w:pPr>
        <w:pStyle w:val="Normal"/>
        <w:rPr/>
      </w:pPr>
      <w:r>
        <w:rPr>
          <w:b/>
        </w:rPr>
        <w:t>Supplementary Table 2:</w:t>
      </w:r>
      <w:r>
        <w:rPr>
          <w:i/>
          <w:sz w:val="20"/>
          <w:szCs w:val="20"/>
        </w:rPr>
        <w:t xml:space="preserve"> Sequences of PSMa3-binding L-peptide ligands identified in MIPD and phage ELISA against D-PSMa3.</w:t>
      </w:r>
    </w:p>
    <w:p>
      <w:pPr>
        <w:pStyle w:val="Normal"/>
        <w:rPr/>
      </w:pPr>
      <w:r>
        <w:rPr/>
      </w:r>
    </w:p>
    <w:tbl>
      <w:tblPr>
        <w:tblStyle w:val="Table1"/>
        <w:tblW w:w="9029" w:type="dxa"/>
        <w:jc w:val="left"/>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100" w:type="dxa"/>
          <w:left w:w="90" w:type="dxa"/>
          <w:bottom w:w="100" w:type="dxa"/>
          <w:right w:w="100" w:type="dxa"/>
        </w:tblCellMar>
        <w:tblLook w:val="0600"/>
      </w:tblPr>
      <w:tblGrid>
        <w:gridCol w:w="2278"/>
        <w:gridCol w:w="2279"/>
        <w:gridCol w:w="2536"/>
        <w:gridCol w:w="1935"/>
      </w:tblGrid>
      <w:tr>
        <w:trPr>
          <w:trHeight w:val="357" w:hRule="atLeast"/>
        </w:trPr>
        <w:tc>
          <w:tcPr>
            <w:tcW w:w="2278"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CCCCCC" w:val="clear"/>
          </w:tcPr>
          <w:p>
            <w:pPr>
              <w:pStyle w:val="Normal"/>
              <w:widowControl w:val="false"/>
              <w:spacing w:lineRule="auto" w:line="240"/>
              <w:jc w:val="center"/>
              <w:rPr>
                <w:b/>
                <w:b/>
              </w:rPr>
            </w:pPr>
            <w:r>
              <w:rPr>
                <w:b/>
              </w:rPr>
              <w:t>Name</w:t>
            </w:r>
          </w:p>
        </w:tc>
        <w:tc>
          <w:tcPr>
            <w:tcW w:w="2279"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CCCCCC" w:val="clear"/>
          </w:tcPr>
          <w:p>
            <w:pPr>
              <w:pStyle w:val="Normal"/>
              <w:widowControl w:val="false"/>
              <w:spacing w:lineRule="auto" w:line="240"/>
              <w:jc w:val="center"/>
              <w:rPr>
                <w:b/>
                <w:b/>
              </w:rPr>
            </w:pPr>
            <w:r>
              <w:rPr>
                <w:b/>
              </w:rPr>
              <w:t>Sequence</w:t>
            </w:r>
          </w:p>
        </w:tc>
        <w:tc>
          <w:tcPr>
            <w:tcW w:w="2536"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CCCCCC" w:val="clear"/>
          </w:tcPr>
          <w:p>
            <w:pPr>
              <w:pStyle w:val="Normal"/>
              <w:widowControl w:val="false"/>
              <w:spacing w:lineRule="auto" w:line="240"/>
              <w:jc w:val="center"/>
              <w:rPr>
                <w:b/>
                <w:b/>
              </w:rPr>
            </w:pPr>
            <w:r>
              <w:rPr>
                <w:b/>
              </w:rPr>
              <w:t>m/z (calculated)</w:t>
            </w:r>
          </w:p>
        </w:tc>
        <w:tc>
          <w:tcPr>
            <w:tcW w:w="1935"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CCCCCC" w:val="clear"/>
          </w:tcPr>
          <w:p>
            <w:pPr>
              <w:pStyle w:val="Normal"/>
              <w:widowControl w:val="false"/>
              <w:spacing w:lineRule="auto" w:line="240"/>
              <w:jc w:val="center"/>
              <w:rPr>
                <w:b/>
                <w:b/>
              </w:rPr>
            </w:pPr>
            <w:r>
              <w:rPr>
                <w:b/>
              </w:rPr>
              <w:t>m/z (observed)</w:t>
            </w:r>
          </w:p>
        </w:tc>
      </w:tr>
      <w:tr>
        <w:trPr/>
        <w:tc>
          <w:tcPr>
            <w:tcW w:w="2278"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spacing w:lineRule="auto" w:line="240"/>
              <w:jc w:val="center"/>
              <w:rPr/>
            </w:pPr>
            <w:r>
              <w:rPr/>
              <w:t>MIPD 8</w:t>
            </w:r>
          </w:p>
        </w:tc>
        <w:tc>
          <w:tcPr>
            <w:tcW w:w="2279"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KHLHYHSSVRYG</w:t>
            </w:r>
          </w:p>
        </w:tc>
        <w:tc>
          <w:tcPr>
            <w:tcW w:w="2536"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1483.75</w:t>
            </w:r>
          </w:p>
        </w:tc>
        <w:tc>
          <w:tcPr>
            <w:tcW w:w="1935"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1483.7</w:t>
            </w:r>
          </w:p>
        </w:tc>
      </w:tr>
      <w:tr>
        <w:trPr/>
        <w:tc>
          <w:tcPr>
            <w:tcW w:w="2278"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spacing w:lineRule="auto" w:line="240"/>
              <w:jc w:val="center"/>
              <w:rPr/>
            </w:pPr>
            <w:r>
              <w:rPr/>
              <w:t>MIPD 11</w:t>
            </w:r>
          </w:p>
        </w:tc>
        <w:tc>
          <w:tcPr>
            <w:tcW w:w="2279"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KHVQITSTFGVI</w:t>
            </w:r>
          </w:p>
        </w:tc>
        <w:tc>
          <w:tcPr>
            <w:tcW w:w="2536"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1329.74</w:t>
            </w:r>
          </w:p>
        </w:tc>
        <w:tc>
          <w:tcPr>
            <w:tcW w:w="1935"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1329.55</w:t>
            </w:r>
          </w:p>
        </w:tc>
      </w:tr>
      <w:tr>
        <w:trPr/>
        <w:tc>
          <w:tcPr>
            <w:tcW w:w="2278"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spacing w:lineRule="auto" w:line="240"/>
              <w:jc w:val="center"/>
              <w:rPr/>
            </w:pPr>
            <w:r>
              <w:rPr/>
              <w:t>MIPD 27</w:t>
            </w:r>
          </w:p>
        </w:tc>
        <w:tc>
          <w:tcPr>
            <w:tcW w:w="2279"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MPMFKHRMFHTH</w:t>
            </w:r>
          </w:p>
        </w:tc>
        <w:tc>
          <w:tcPr>
            <w:tcW w:w="2536"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1599.95</w:t>
            </w:r>
          </w:p>
        </w:tc>
        <w:tc>
          <w:tcPr>
            <w:tcW w:w="1935"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791.36</w:t>
            </w:r>
          </w:p>
        </w:tc>
      </w:tr>
      <w:tr>
        <w:trPr/>
        <w:tc>
          <w:tcPr>
            <w:tcW w:w="2278"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spacing w:lineRule="auto" w:line="240"/>
              <w:jc w:val="center"/>
              <w:rPr/>
            </w:pPr>
            <w:r>
              <w:rPr/>
              <w:t>scrambled control</w:t>
            </w:r>
          </w:p>
        </w:tc>
        <w:tc>
          <w:tcPr>
            <w:tcW w:w="2279"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LPSSHHIPPMHI</w:t>
            </w:r>
          </w:p>
        </w:tc>
        <w:tc>
          <w:tcPr>
            <w:tcW w:w="2536"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1365.60</w:t>
            </w:r>
          </w:p>
        </w:tc>
        <w:tc>
          <w:tcPr>
            <w:tcW w:w="1935"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1365.50</w:t>
            </w:r>
          </w:p>
        </w:tc>
      </w:tr>
      <w:tr>
        <w:trPr/>
        <w:tc>
          <w:tcPr>
            <w:tcW w:w="2278"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spacing w:lineRule="auto" w:line="240"/>
              <w:jc w:val="center"/>
              <w:rPr/>
            </w:pPr>
            <w:r>
              <w:rPr/>
              <w:t>EA2</w:t>
            </w:r>
          </w:p>
        </w:tc>
        <w:tc>
          <w:tcPr>
            <w:tcW w:w="2279"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jc w:val="center"/>
              <w:rPr/>
            </w:pPr>
            <w:r>
              <w:rPr/>
              <w:t>FKWRYERDKKQS</w:t>
            </w:r>
          </w:p>
        </w:tc>
        <w:tc>
          <w:tcPr>
            <w:tcW w:w="2536"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1670.86</w:t>
            </w:r>
          </w:p>
        </w:tc>
        <w:tc>
          <w:tcPr>
            <w:tcW w:w="1935"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widowControl w:val="false"/>
              <w:jc w:val="center"/>
              <w:rPr/>
            </w:pPr>
            <w:r>
              <w:rPr/>
              <w:t>835.79</w:t>
            </w:r>
          </w:p>
        </w:tc>
      </w:tr>
      <w:tr>
        <w:trPr/>
        <w:tc>
          <w:tcPr>
            <w:tcW w:w="2278"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spacing w:lineRule="auto" w:line="360"/>
              <w:jc w:val="center"/>
              <w:rPr/>
            </w:pPr>
            <w:r>
              <w:rPr/>
              <w:t>MIPD 3</w:t>
            </w:r>
          </w:p>
        </w:tc>
        <w:tc>
          <w:tcPr>
            <w:tcW w:w="2279"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spacing w:lineRule="auto" w:line="360"/>
              <w:jc w:val="center"/>
              <w:rPr/>
            </w:pPr>
            <w:r>
              <w:rPr/>
              <w:t>WDMWPSMDWKAE</w:t>
            </w:r>
          </w:p>
        </w:tc>
        <w:tc>
          <w:tcPr>
            <w:tcW w:w="2536"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spacing w:lineRule="auto" w:line="360"/>
              <w:jc w:val="center"/>
              <w:rPr/>
            </w:pPr>
            <w:r>
              <w:rPr/>
              <w:t>not synthesized</w:t>
            </w:r>
          </w:p>
        </w:tc>
        <w:tc>
          <w:tcPr>
            <w:tcW w:w="1935" w:type="dxa"/>
            <w:tcBorders>
              <w:top w:val="single" w:sz="8" w:space="0" w:color="000000"/>
              <w:left w:val="single" w:sz="8" w:space="0" w:color="000000"/>
              <w:bottom w:val="single" w:sz="8" w:space="0" w:color="000000"/>
              <w:right w:val="single" w:sz="8" w:space="0" w:color="000000"/>
              <w:insideH w:val="single" w:sz="8" w:space="0" w:color="000000"/>
              <w:insideV w:val="single" w:sz="8" w:space="0" w:color="000000"/>
            </w:tcBorders>
            <w:shd w:fill="auto" w:val="clear"/>
          </w:tcPr>
          <w:p>
            <w:pPr>
              <w:pStyle w:val="Normal"/>
              <w:spacing w:lineRule="auto" w:line="360"/>
              <w:jc w:val="center"/>
              <w:rPr/>
            </w:pPr>
            <w:r>
              <w:rPr/>
              <w:t>not synthesized</w:t>
            </w:r>
          </w:p>
        </w:tc>
      </w:tr>
    </w:tbl>
    <w:p>
      <w:pPr>
        <w:pStyle w:val="Normal"/>
        <w:rPr>
          <w:i/>
          <w:i/>
        </w:rPr>
      </w:pPr>
      <w:r>
        <w:rPr>
          <w:i/>
        </w:rPr>
      </w:r>
    </w:p>
    <w:p>
      <w:pPr>
        <w:pStyle w:val="Normal"/>
        <w:spacing w:lineRule="auto" w:line="360"/>
        <w:jc w:val="both"/>
        <w:rPr>
          <w:i/>
          <w:i/>
        </w:rPr>
      </w:pPr>
      <w:r>
        <w:rPr>
          <w:i/>
        </w:rPr>
      </w:r>
    </w:p>
    <w:p>
      <w:pPr>
        <w:pStyle w:val="Normal"/>
        <w:rPr/>
      </w:pPr>
      <w:r>
        <w:rPr/>
      </w:r>
    </w:p>
    <w:sectPr>
      <w:type w:val="nextPage"/>
      <w:pgSz w:w="11906" w:h="16838"/>
      <w:pgMar w:left="1440" w:right="1440" w:header="0" w:top="1440" w:footer="0" w:bottom="1440" w:gutter="0"/>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roman"/>
    <w:pitch w:val="variable"/>
  </w:font>
  <w:font w:name="Liberation Sans">
    <w:altName w:val="Arial"/>
    <w:charset w:val="01"/>
    <w:family w:val="roman"/>
    <w:pitch w:val="variable"/>
  </w:font>
</w:fonts>
</file>

<file path=word/settings.xml><?xml version="1.0" encoding="utf-8"?>
<w:settings xmlns:w="http://schemas.openxmlformats.org/wordprocessingml/2006/main">
  <w:zoom w:percent="90"/>
  <w:defaultTabStop w:val="720"/>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Cs w:val="22"/>
        <w:lang w:val="en-US" w:eastAsia="zh-CN" w:bidi="hi-IN"/>
      </w:rPr>
    </w:rPrDefault>
    <w:pPrDefault>
      <w:pPr/>
    </w:pPrDefault>
  </w:docDefaults>
  <w:style w:type="paragraph" w:styleId="Normal" w:default="1">
    <w:name w:val="Normal"/>
    <w:qFormat/>
    <w:pPr>
      <w:widowControl/>
      <w:bidi w:val="0"/>
      <w:spacing w:lineRule="auto" w:line="276"/>
      <w:jc w:val="left"/>
    </w:pPr>
    <w:rPr>
      <w:rFonts w:ascii="Arial" w:hAnsi="Arial" w:eastAsia="Arial" w:cs="Arial"/>
      <w:color w:val="auto"/>
      <w:kern w:val="0"/>
      <w:sz w:val="22"/>
      <w:szCs w:val="22"/>
      <w:lang w:val="en-US" w:eastAsia="zh-CN" w:bidi="hi-IN"/>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paragraph" w:styleId="Heading">
    <w:name w:val="Heading"/>
    <w:basedOn w:val="Normal"/>
    <w:next w:val="TextBody"/>
    <w:qFormat/>
    <w:pPr>
      <w:keepNext w:val="true"/>
      <w:spacing w:before="240" w:after="120"/>
    </w:pPr>
    <w:rPr>
      <w:rFonts w:ascii="Liberation Sans" w:hAnsi="Liberation Sans" w:eastAsia="Noto Sans CJK SC" w:cs="Lohit Devanagari"/>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rPr>
  </w:style>
  <w:style w:type="paragraph" w:styleId="LOnormal" w:default="1">
    <w:name w:val="LO-normal"/>
    <w:qFormat/>
    <w:pPr>
      <w:widowControl/>
      <w:bidi w:val="0"/>
      <w:jc w:val="left"/>
    </w:pPr>
    <w:rPr>
      <w:rFonts w:ascii="Arial" w:hAnsi="Arial" w:eastAsia="Arial" w:cs="Arial"/>
      <w:color w:val="auto"/>
      <w:kern w:val="0"/>
      <w:sz w:val="22"/>
      <w:szCs w:val="22"/>
      <w:lang w:val="en-US" w:eastAsia="zh-CN" w:bidi="hi-IN"/>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LOnormal"/>
    <w:next w:val="Normal"/>
    <w:uiPriority w:val="11"/>
    <w:qFormat/>
    <w:pPr>
      <w:keepNext w:val="true"/>
      <w:keepLines/>
      <w:spacing w:lineRule="auto" w:line="240" w:before="0" w:after="320"/>
    </w:pPr>
    <w:rPr>
      <w:color w:val="666666"/>
      <w:sz w:val="30"/>
      <w:szCs w:val="30"/>
    </w:rPr>
  </w:style>
  <w:style w:type="numbering" w:styleId="NoList" w:default="1">
    <w:name w:val="No List"/>
    <w:uiPriority w:val="99"/>
    <w:semiHidden/>
    <w:unhideWhenUsed/>
    <w:qFormat/>
  </w:style>
  <w:style w:type="table" w:default="1" w:styleId="TableNormal">
    <w:name w:val="Table Normal"/>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fontTable" Target="fontTable.xml"/><Relationship Id="rId8" Type="http://schemas.openxmlformats.org/officeDocument/2006/relationships/settings" Target="settings.xml"/><Relationship Id="rId9" Type="http://schemas.openxmlformats.org/officeDocument/2006/relationships/theme" Target="theme/theme1.xml"/><Relationship Id="rId10"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go:gDocsCustomXmlDataStorage xmlns:go="http://customooxmlschemas.google.com/" xmlns:r="http://schemas.openxmlformats.org/officeDocument/2006/relationships">
  <go:docsCustomData roundtripDataSignature="AMtx7mh3KFK9vUkczggsDgibyI0/BRvVKw==">AMUW2mUSxC3VhJNHAuKhil0knpz95L3wej+faqBxG7FqYIyozSZ89ae9QrUfqsYDr7dHm8YjZ7+O9Fn9X66JzZrn0tgWG2iWDfna7QMO4nZV0sdeE5yz3z5pgJhc99ms4GEyav15qCtJs9KCsItLiakhGiWQvtSwbGrT/7MonRBznREpPWo+6B4=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
  <TotalTime>4</TotalTime>
  <Application>LibreOffice/6.0.7.3$Linux_X86_64 LibreOffice_project/00m0$Build-3</Application>
  <Pages>6</Pages>
  <Words>512</Words>
  <Characters>2525</Characters>
  <CharactersWithSpaces>3060</CharactersWithSpaces>
  <Paragraphs>86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2021-06-28T20:50:00Z</dcterms:created>
  <dc:creator>User</dc:creator>
  <dc:description/>
  <dc:language>en-US</dc:language>
  <cp:lastModifiedBy/>
  <dcterms:modified xsi:type="dcterms:W3CDTF">2021-11-19T14:43:57Z</dcterms:modified>
  <cp:revision>2</cp:revision>
  <dc:subject/>
  <dc:title/>
</cp:coreProperties>
</file>