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D04C64" w14:textId="4CC127FD" w:rsidR="000531DA" w:rsidRDefault="000531DA" w:rsidP="000531DA">
      <w:pPr>
        <w:pStyle w:val="Heading1"/>
      </w:pPr>
      <w:bookmarkStart w:id="0" w:name="_Hlk81254451"/>
      <w:bookmarkEnd w:id="0"/>
      <w:r>
        <w:t>Supplementary Material</w:t>
      </w:r>
    </w:p>
    <w:p w14:paraId="2927F92A" w14:textId="31D36540" w:rsidR="000531DA" w:rsidRDefault="000531DA" w:rsidP="000531DA"/>
    <w:p w14:paraId="62EE406D" w14:textId="5C347305" w:rsidR="000531DA" w:rsidRPr="000531DA" w:rsidRDefault="000531DA" w:rsidP="000531DA"/>
    <w:p w14:paraId="1D174C68" w14:textId="3E7DEBEA" w:rsidR="00815E10" w:rsidRPr="00B247C0" w:rsidRDefault="00815E10" w:rsidP="00815E10">
      <w:pPr>
        <w:jc w:val="center"/>
        <w:rPr>
          <w:sz w:val="28"/>
          <w:szCs w:val="28"/>
        </w:rPr>
      </w:pPr>
      <w:r w:rsidRPr="00B247C0">
        <w:rPr>
          <w:sz w:val="28"/>
          <w:szCs w:val="28"/>
        </w:rPr>
        <w:t>Bacterial lectin BambL acts as a B-cell superantigen</w:t>
      </w:r>
    </w:p>
    <w:p w14:paraId="0B8E61CC" w14:textId="77777777" w:rsidR="0038461A" w:rsidRPr="0038461A" w:rsidRDefault="0038461A" w:rsidP="0038461A">
      <w:r w:rsidRPr="0038461A">
        <w:t>Marco Frensch</w:t>
      </w:r>
      <w:r w:rsidRPr="0038461A">
        <w:rPr>
          <w:vertAlign w:val="superscript"/>
        </w:rPr>
        <w:t>1,2,3</w:t>
      </w:r>
      <w:r w:rsidRPr="0038461A">
        <w:t>, Christina Jäger</w:t>
      </w:r>
      <w:r w:rsidRPr="0038461A">
        <w:rPr>
          <w:vertAlign w:val="superscript"/>
        </w:rPr>
        <w:t>1,2</w:t>
      </w:r>
      <w:r w:rsidRPr="0038461A">
        <w:t>, Peter F. Müller</w:t>
      </w:r>
      <w:r w:rsidRPr="0038461A">
        <w:rPr>
          <w:vertAlign w:val="superscript"/>
        </w:rPr>
        <w:t>1,2</w:t>
      </w:r>
      <w:r w:rsidRPr="0038461A">
        <w:t>, Annamaria Tadi</w:t>
      </w:r>
      <w:r w:rsidRPr="0038461A">
        <w:rPr>
          <w:rFonts w:cstheme="minorHAnsi"/>
        </w:rPr>
        <w:t>ć</w:t>
      </w:r>
      <w:r w:rsidRPr="0038461A">
        <w:rPr>
          <w:vertAlign w:val="superscript"/>
        </w:rPr>
        <w:t>1,2</w:t>
      </w:r>
      <w:r w:rsidRPr="0038461A">
        <w:t>, Isabel Wilhelm</w:t>
      </w:r>
      <w:r w:rsidRPr="0038461A">
        <w:rPr>
          <w:vertAlign w:val="superscript"/>
        </w:rPr>
        <w:t>1,2,4</w:t>
      </w:r>
      <w:r w:rsidRPr="0038461A">
        <w:t>, Sarah Wehrum</w:t>
      </w:r>
      <w:r w:rsidRPr="0038461A">
        <w:rPr>
          <w:vertAlign w:val="superscript"/>
        </w:rPr>
        <w:t>1,2</w:t>
      </w:r>
      <w:r w:rsidRPr="0038461A">
        <w:t>, Britta Diedrich</w:t>
      </w:r>
      <w:r w:rsidRPr="0038461A">
        <w:rPr>
          <w:vertAlign w:val="superscript"/>
        </w:rPr>
        <w:t>5,6</w:t>
      </w:r>
      <w:r w:rsidRPr="0038461A">
        <w:t>, Beate Fischer</w:t>
      </w:r>
      <w:r w:rsidRPr="0038461A">
        <w:rPr>
          <w:vertAlign w:val="superscript"/>
        </w:rPr>
        <w:t>7</w:t>
      </w:r>
      <w:r w:rsidRPr="0038461A">
        <w:t>, Ana Valeria Meléndez</w:t>
      </w:r>
      <w:r w:rsidRPr="0038461A">
        <w:rPr>
          <w:vertAlign w:val="superscript"/>
        </w:rPr>
        <w:t>1,2,4</w:t>
      </w:r>
      <w:r w:rsidRPr="0038461A">
        <w:t>, Joern Dengjel</w:t>
      </w:r>
      <w:r w:rsidRPr="0038461A">
        <w:rPr>
          <w:vertAlign w:val="superscript"/>
        </w:rPr>
        <w:t>5,6</w:t>
      </w:r>
      <w:r w:rsidRPr="0038461A">
        <w:t>, Hermann Eibel</w:t>
      </w:r>
      <w:r w:rsidRPr="0038461A">
        <w:rPr>
          <w:vertAlign w:val="superscript"/>
        </w:rPr>
        <w:t>7</w:t>
      </w:r>
      <w:r w:rsidRPr="0038461A">
        <w:t>* and Winfried Römer</w:t>
      </w:r>
      <w:r w:rsidRPr="0038461A">
        <w:rPr>
          <w:vertAlign w:val="superscript"/>
        </w:rPr>
        <w:t>1,2,3,4,8</w:t>
      </w:r>
      <w:r w:rsidRPr="0038461A">
        <w:t>*</w:t>
      </w:r>
    </w:p>
    <w:p w14:paraId="179A0A6B" w14:textId="77777777" w:rsidR="0038461A" w:rsidRPr="00650B64" w:rsidRDefault="0038461A" w:rsidP="00815E10"/>
    <w:p w14:paraId="656BE8B7" w14:textId="77777777" w:rsidR="00815E10" w:rsidRPr="007116A5" w:rsidRDefault="00815E10" w:rsidP="00815E10">
      <w:pPr>
        <w:pStyle w:val="Heading2"/>
      </w:pPr>
      <w:r w:rsidRPr="007116A5">
        <w:t>Affiliations</w:t>
      </w:r>
    </w:p>
    <w:p w14:paraId="77CBA971" w14:textId="77777777" w:rsidR="00815E10" w:rsidRPr="007116A5" w:rsidRDefault="00815E10" w:rsidP="00815E10">
      <w:pPr>
        <w:jc w:val="left"/>
      </w:pPr>
      <w:r w:rsidRPr="007116A5">
        <w:rPr>
          <w:vertAlign w:val="superscript"/>
        </w:rPr>
        <w:t xml:space="preserve">1 </w:t>
      </w:r>
      <w:r w:rsidRPr="007116A5">
        <w:t xml:space="preserve">Faculty of Biology, University </w:t>
      </w:r>
      <w:r>
        <w:t xml:space="preserve">of </w:t>
      </w:r>
      <w:r w:rsidRPr="007116A5">
        <w:t>Freiburg, Freiburg, Germany.</w:t>
      </w:r>
    </w:p>
    <w:p w14:paraId="5B3042A5" w14:textId="77777777" w:rsidR="00815E10" w:rsidRPr="007116A5" w:rsidRDefault="00815E10" w:rsidP="00815E10">
      <w:pPr>
        <w:jc w:val="left"/>
      </w:pPr>
      <w:r w:rsidRPr="007116A5">
        <w:rPr>
          <w:vertAlign w:val="superscript"/>
        </w:rPr>
        <w:t>2</w:t>
      </w:r>
      <w:r w:rsidRPr="007116A5">
        <w:t xml:space="preserve"> Signaling Research Centers BIOSS and CIBSS, University </w:t>
      </w:r>
      <w:r>
        <w:t xml:space="preserve">of </w:t>
      </w:r>
      <w:r w:rsidRPr="007116A5">
        <w:t>Freiburg, Freiburg, Germany.</w:t>
      </w:r>
    </w:p>
    <w:p w14:paraId="657991AD" w14:textId="77777777" w:rsidR="00815E10" w:rsidRPr="007116A5" w:rsidRDefault="00815E10" w:rsidP="00815E10">
      <w:pPr>
        <w:jc w:val="left"/>
        <w:rPr>
          <w:noProof/>
        </w:rPr>
      </w:pPr>
      <w:r w:rsidRPr="007116A5">
        <w:rPr>
          <w:noProof/>
          <w:vertAlign w:val="superscript"/>
        </w:rPr>
        <w:t>3</w:t>
      </w:r>
      <w:r w:rsidRPr="007116A5">
        <w:rPr>
          <w:noProof/>
        </w:rPr>
        <w:t xml:space="preserve"> International Max Planck Research School for Molecular and Cellular Biology IMPRS-MCB, Max Planck Institute of Immunobiology and Epigenetics, Freiburg, Germany.</w:t>
      </w:r>
    </w:p>
    <w:p w14:paraId="03D67C9B" w14:textId="77777777" w:rsidR="00815E10" w:rsidRPr="007116A5" w:rsidRDefault="00815E10" w:rsidP="00815E10">
      <w:pPr>
        <w:jc w:val="left"/>
      </w:pPr>
      <w:r w:rsidRPr="007116A5">
        <w:rPr>
          <w:vertAlign w:val="superscript"/>
        </w:rPr>
        <w:t>4</w:t>
      </w:r>
      <w:r w:rsidRPr="007116A5">
        <w:t xml:space="preserve"> Spemann Graduate School of Biology and Medicine SGBM, University </w:t>
      </w:r>
      <w:r>
        <w:t xml:space="preserve">of </w:t>
      </w:r>
      <w:r w:rsidRPr="007116A5">
        <w:t>Freiburg</w:t>
      </w:r>
      <w:r>
        <w:t>,</w:t>
      </w:r>
      <w:r w:rsidRPr="007116A5">
        <w:t xml:space="preserve"> Freiburg, Germany.</w:t>
      </w:r>
    </w:p>
    <w:p w14:paraId="56770938" w14:textId="77777777" w:rsidR="00815E10" w:rsidRPr="007116A5" w:rsidRDefault="00815E10" w:rsidP="00815E10">
      <w:pPr>
        <w:jc w:val="left"/>
      </w:pPr>
      <w:r w:rsidRPr="007116A5">
        <w:rPr>
          <w:rStyle w:val="nlm-addr-line"/>
          <w:vertAlign w:val="superscript"/>
        </w:rPr>
        <w:t>5</w:t>
      </w:r>
      <w:r w:rsidRPr="007116A5">
        <w:rPr>
          <w:rStyle w:val="nlm-addr-line"/>
        </w:rPr>
        <w:t xml:space="preserve"> Department of Biology, University of Fribourg, Switzerland</w:t>
      </w:r>
      <w:r w:rsidRPr="007116A5">
        <w:t>.</w:t>
      </w:r>
    </w:p>
    <w:p w14:paraId="2FA98B0D" w14:textId="77777777" w:rsidR="00815E10" w:rsidRPr="007116A5" w:rsidRDefault="00815E10" w:rsidP="00815E10">
      <w:pPr>
        <w:jc w:val="left"/>
      </w:pPr>
      <w:r w:rsidRPr="007116A5">
        <w:rPr>
          <w:vertAlign w:val="superscript"/>
        </w:rPr>
        <w:t>6</w:t>
      </w:r>
      <w:r w:rsidRPr="007116A5">
        <w:t xml:space="preserve"> Department of Dermatology, University Medical Center and University</w:t>
      </w:r>
      <w:r>
        <w:t xml:space="preserve"> of</w:t>
      </w:r>
      <w:r w:rsidRPr="007116A5">
        <w:t xml:space="preserve"> Freiburg, Freiburg, Germany.</w:t>
      </w:r>
    </w:p>
    <w:p w14:paraId="1648462B" w14:textId="76525CB8" w:rsidR="00815E10" w:rsidRDefault="00815E10" w:rsidP="00815E10">
      <w:pPr>
        <w:jc w:val="left"/>
      </w:pPr>
      <w:r w:rsidRPr="007116A5">
        <w:rPr>
          <w:vertAlign w:val="superscript"/>
        </w:rPr>
        <w:t>7</w:t>
      </w:r>
      <w:r w:rsidRPr="007116A5">
        <w:t xml:space="preserve"> Center for Chronic Immunodeficiency CCI and University Medical Center Freiburg, Freiburg, Germany.</w:t>
      </w:r>
    </w:p>
    <w:p w14:paraId="580EB747" w14:textId="77777777" w:rsidR="0038461A" w:rsidRPr="007116A5" w:rsidRDefault="0038461A" w:rsidP="0038461A">
      <w:pPr>
        <w:jc w:val="left"/>
      </w:pPr>
      <w:r w:rsidRPr="00237114">
        <w:rPr>
          <w:vertAlign w:val="superscript"/>
        </w:rPr>
        <w:t>8</w:t>
      </w:r>
      <w:r>
        <w:t xml:space="preserve"> Freiburg Institute for Advanced Studies (FRIAS), University of Freiburg, Freiburg, Germany.</w:t>
      </w:r>
    </w:p>
    <w:p w14:paraId="50BC04BD" w14:textId="77777777" w:rsidR="0038461A" w:rsidRPr="007116A5" w:rsidRDefault="0038461A" w:rsidP="00815E10">
      <w:pPr>
        <w:jc w:val="left"/>
      </w:pPr>
    </w:p>
    <w:p w14:paraId="6DB8AE4B" w14:textId="4799F8DB" w:rsidR="00815E10" w:rsidRPr="007116A5" w:rsidRDefault="00815E10" w:rsidP="00815E10">
      <w:r w:rsidRPr="007116A5">
        <w:t xml:space="preserve">* </w:t>
      </w:r>
      <w:proofErr w:type="gramStart"/>
      <w:r w:rsidRPr="007116A5">
        <w:t>corresponding</w:t>
      </w:r>
      <w:proofErr w:type="gramEnd"/>
      <w:r w:rsidRPr="007116A5">
        <w:t xml:space="preserve"> author</w:t>
      </w:r>
      <w:r w:rsidR="0038461A">
        <w:t>s</w:t>
      </w:r>
    </w:p>
    <w:p w14:paraId="610368CF" w14:textId="0F5BFACF" w:rsidR="00815E10" w:rsidRPr="007116A5" w:rsidRDefault="00815E10" w:rsidP="00815E10"/>
    <w:p w14:paraId="5AD8A6E3" w14:textId="77777777" w:rsidR="00815E10" w:rsidRPr="007116A5" w:rsidRDefault="00815E10" w:rsidP="00815E10">
      <w:pPr>
        <w:pStyle w:val="Heading2"/>
      </w:pPr>
      <w:r w:rsidRPr="007116A5">
        <w:t>To whom correspondence should be addressed:</w:t>
      </w:r>
    </w:p>
    <w:p w14:paraId="57F9E159" w14:textId="77777777" w:rsidR="0038461A" w:rsidRDefault="00815E10" w:rsidP="0038461A">
      <w:pPr>
        <w:jc w:val="left"/>
        <w:rPr>
          <w:lang w:val="de-DE"/>
        </w:rPr>
      </w:pPr>
      <w:r w:rsidRPr="00417AA6">
        <w:rPr>
          <w:lang w:val="de-DE"/>
        </w:rPr>
        <w:t xml:space="preserve">Prof. Dr. Winfried Römer, </w:t>
      </w:r>
      <w:hyperlink r:id="rId5" w:history="1">
        <w:r w:rsidRPr="00417AA6">
          <w:rPr>
            <w:rStyle w:val="Hyperlink"/>
            <w:sz w:val="20"/>
            <w:szCs w:val="20"/>
            <w:lang w:val="de-DE"/>
          </w:rPr>
          <w:t>winfried.roemer@bioss.uni-freiburg.de</w:t>
        </w:r>
      </w:hyperlink>
      <w:r w:rsidR="0038461A" w:rsidRPr="0038461A">
        <w:rPr>
          <w:lang w:val="de-DE"/>
        </w:rPr>
        <w:t xml:space="preserve"> </w:t>
      </w:r>
    </w:p>
    <w:p w14:paraId="2FF99BBE" w14:textId="3E658707" w:rsidR="0038461A" w:rsidRPr="00417AA6" w:rsidRDefault="0038461A" w:rsidP="0038461A">
      <w:pPr>
        <w:jc w:val="left"/>
        <w:rPr>
          <w:lang w:val="de-DE"/>
        </w:rPr>
      </w:pPr>
      <w:r>
        <w:rPr>
          <w:lang w:val="de-DE"/>
        </w:rPr>
        <w:t xml:space="preserve">Prof. Dr. Hermann Eibel, </w:t>
      </w:r>
      <w:hyperlink r:id="rId6" w:history="1">
        <w:r w:rsidRPr="004216A3">
          <w:rPr>
            <w:rStyle w:val="Hyperlink"/>
            <w:lang w:val="de-DE"/>
          </w:rPr>
          <w:t>hermann.eibel@uniklinik-freiburg.de</w:t>
        </w:r>
      </w:hyperlink>
      <w:r>
        <w:rPr>
          <w:lang w:val="de-DE"/>
        </w:rPr>
        <w:t xml:space="preserve"> </w:t>
      </w:r>
    </w:p>
    <w:p w14:paraId="44873C90" w14:textId="15D89760" w:rsidR="00815E10" w:rsidRPr="00417AA6" w:rsidRDefault="00815E10" w:rsidP="00815E10">
      <w:pPr>
        <w:rPr>
          <w:lang w:val="de-DE"/>
        </w:rPr>
      </w:pPr>
    </w:p>
    <w:p w14:paraId="610E2147" w14:textId="204CB30D" w:rsidR="00C176E3" w:rsidRPr="009F6934" w:rsidRDefault="00C176E3" w:rsidP="000531DA">
      <w:pPr>
        <w:jc w:val="center"/>
        <w:rPr>
          <w:lang w:val="de-DE"/>
        </w:rPr>
      </w:pPr>
    </w:p>
    <w:p w14:paraId="7911AD53" w14:textId="77777777" w:rsidR="0038461A" w:rsidRDefault="0038461A">
      <w:pPr>
        <w:jc w:val="left"/>
        <w:rPr>
          <w:lang w:val="de-DE"/>
        </w:rPr>
      </w:pPr>
      <w:r>
        <w:rPr>
          <w:lang w:val="de-DE"/>
        </w:rPr>
        <w:br w:type="page"/>
      </w:r>
    </w:p>
    <w:p w14:paraId="7C0FD39C" w14:textId="77777777" w:rsidR="00084F23" w:rsidRPr="00650B64" w:rsidRDefault="00084F23" w:rsidP="0038461A">
      <w:pPr>
        <w:pStyle w:val="Heading2"/>
        <w:rPr>
          <w:lang w:val="de-DE"/>
        </w:rPr>
      </w:pPr>
    </w:p>
    <w:p w14:paraId="744D03AB" w14:textId="025117EF" w:rsidR="0038461A" w:rsidRPr="0038461A" w:rsidRDefault="0038461A" w:rsidP="0038461A">
      <w:pPr>
        <w:pStyle w:val="Heading2"/>
      </w:pPr>
      <w:r w:rsidRPr="0038461A">
        <w:t>Supplementary Methods and Materials</w:t>
      </w:r>
    </w:p>
    <w:p w14:paraId="644B4A56" w14:textId="77777777" w:rsidR="0034247C" w:rsidRDefault="0034247C" w:rsidP="0034247C">
      <w:pPr>
        <w:pStyle w:val="Heading3"/>
      </w:pPr>
      <w:r>
        <w:t>Flow cytometric analyses</w:t>
      </w:r>
    </w:p>
    <w:p w14:paraId="376FAA65" w14:textId="506D0B23" w:rsidR="0034247C" w:rsidRPr="0038461A" w:rsidRDefault="0034247C" w:rsidP="0034247C">
      <w:r w:rsidRPr="00A16B6D">
        <w:t xml:space="preserve">After stimulation, live cells were </w:t>
      </w:r>
      <w:r>
        <w:t>transferred</w:t>
      </w:r>
      <w:r w:rsidRPr="00A16B6D">
        <w:t xml:space="preserve"> in</w:t>
      </w:r>
      <w:r>
        <w:t>to</w:t>
      </w:r>
      <w:r w:rsidRPr="00A16B6D">
        <w:t xml:space="preserve"> cold FACS buffer (PBS, 5% FCS, 0.5 mM EDTA). Antibody staining was carried out according to the manufacturers’ recommendations, followed by a brief staining with DAPI to mark non-viable cells. Antibodies for flow cytometry were purchased from </w:t>
      </w:r>
      <w:proofErr w:type="spellStart"/>
      <w:r w:rsidRPr="00A16B6D">
        <w:t>Biolegend</w:t>
      </w:r>
      <w:proofErr w:type="spellEnd"/>
      <w:r w:rsidRPr="00A16B6D">
        <w:t xml:space="preserve"> </w:t>
      </w:r>
      <w:r>
        <w:t>(CD4: clone RPA</w:t>
      </w:r>
      <w:r>
        <w:noBreakHyphen/>
        <w:t>T4, catalogue #300511, and clone OKT4, #317427; CD8a: clone RPA</w:t>
      </w:r>
      <w:r>
        <w:noBreakHyphen/>
        <w:t xml:space="preserve">T8 #301009; </w:t>
      </w:r>
      <w:r w:rsidRPr="00A16B6D">
        <w:t>CD19: clone HIB19 #302218 and #302233</w:t>
      </w:r>
      <w:r>
        <w:t xml:space="preserve">; </w:t>
      </w:r>
      <w:r w:rsidR="00084F23" w:rsidRPr="00A16B6D">
        <w:t>CD22: clone HIB22 #302517</w:t>
      </w:r>
      <w:r w:rsidR="00084F23">
        <w:t xml:space="preserve">; </w:t>
      </w:r>
      <w:r w:rsidR="00084F23" w:rsidRPr="00A16B6D">
        <w:t>CD45: clone HI30 #304020</w:t>
      </w:r>
      <w:r w:rsidR="00084F23">
        <w:t xml:space="preserve">; </w:t>
      </w:r>
      <w:r w:rsidR="00084F23" w:rsidRPr="00A16B6D">
        <w:t>CD69: clone FN50 #310906; CD79b: clone CB3-1 #341404;</w:t>
      </w:r>
      <w:r w:rsidR="00084F23">
        <w:t xml:space="preserve"> </w:t>
      </w:r>
      <w:r w:rsidR="00084F23" w:rsidRPr="00A16B6D">
        <w:t>IgM: clone MHM-88 #314506</w:t>
      </w:r>
      <w:r w:rsidR="00084F23">
        <w:t xml:space="preserve">; </w:t>
      </w:r>
      <w:r>
        <w:t>TIGIT: clone A15153G #372723), BD Biosciences</w:t>
      </w:r>
      <w:r w:rsidRPr="00A16B6D">
        <w:t xml:space="preserve"> (</w:t>
      </w:r>
      <w:r>
        <w:t>CD3: clone HIT3a #</w:t>
      </w:r>
      <w:r>
        <w:rPr>
          <w:rStyle w:val="ml-auto"/>
        </w:rPr>
        <w:t>561802;</w:t>
      </w:r>
      <w:r>
        <w:t xml:space="preserve"> CD25: clone 2A3 #335807; CD56: clone B159 #557699; CTLA4: clone BNI3 #</w:t>
      </w:r>
      <w:r>
        <w:rPr>
          <w:rStyle w:val="ml-auto"/>
        </w:rPr>
        <w:t>560939</w:t>
      </w:r>
      <w:r w:rsidRPr="00A16B6D">
        <w:t>)</w:t>
      </w:r>
      <w:r>
        <w:t xml:space="preserve">, </w:t>
      </w:r>
      <w:proofErr w:type="spellStart"/>
      <w:r>
        <w:t>eBioscience</w:t>
      </w:r>
      <w:proofErr w:type="spellEnd"/>
      <w:r>
        <w:t xml:space="preserve"> (CD8a: clone RPA</w:t>
      </w:r>
      <w:r>
        <w:noBreakHyphen/>
        <w:t>T8 #45-0088-42), Invitrogen (CD8a: clone 3B5 #MHCD0805)</w:t>
      </w:r>
      <w:r w:rsidRPr="0038461A">
        <w:t xml:space="preserve"> </w:t>
      </w:r>
      <w:r w:rsidRPr="00A16B6D">
        <w:t>or Southern Biotech (</w:t>
      </w:r>
      <w:r>
        <w:t>IgM: polyclonal #2022</w:t>
      </w:r>
      <w:r>
        <w:noBreakHyphen/>
        <w:t>01</w:t>
      </w:r>
      <w:r w:rsidRPr="00A16B6D">
        <w:t>).</w:t>
      </w:r>
    </w:p>
    <w:p w14:paraId="1B7C45E3" w14:textId="73AAE4EC" w:rsidR="00975A33" w:rsidRDefault="00975A33" w:rsidP="0038461A">
      <w:pPr>
        <w:pStyle w:val="Heading3"/>
      </w:pPr>
      <w:r>
        <w:t>Cell proliferation assay (Fig. S2)</w:t>
      </w:r>
    </w:p>
    <w:p w14:paraId="7E1D1576" w14:textId="31AC4FE2" w:rsidR="00975A33" w:rsidRPr="00975A33" w:rsidRDefault="00975A33" w:rsidP="00363B15">
      <w:r>
        <w:t xml:space="preserve">Purified B cells were labeled with </w:t>
      </w:r>
      <w:proofErr w:type="spellStart"/>
      <w:r>
        <w:t>CellTrace</w:t>
      </w:r>
      <w:proofErr w:type="spellEnd"/>
      <w:r>
        <w:t xml:space="preserve"> Violet according to the manufacturer’s recommendations (Thermo Fisher) and cultivated </w:t>
      </w:r>
      <w:r w:rsidR="0094063A">
        <w:t xml:space="preserve">in presence of </w:t>
      </w:r>
      <w:r>
        <w:t>0.1 µg/mL BambL</w:t>
      </w:r>
      <w:r w:rsidR="0094063A">
        <w:t xml:space="preserve"> for 4 days. As controls, cells were stimulated with 0.1 µM CpG oligonucleotides + 25 ng/mL BAFF (Thermo Fisher) or left unstimulated. Representative scattering plots and fluorescence histograms are shown for each condition (n = 4).</w:t>
      </w:r>
    </w:p>
    <w:p w14:paraId="6A0DB9A7" w14:textId="5525C50A" w:rsidR="0038461A" w:rsidRDefault="0038461A" w:rsidP="0038461A">
      <w:pPr>
        <w:pStyle w:val="Heading3"/>
      </w:pPr>
      <w:r>
        <w:t>Cell death analysis (Fig. S</w:t>
      </w:r>
      <w:r w:rsidR="005621EC">
        <w:t>3</w:t>
      </w:r>
      <w:r>
        <w:t>)</w:t>
      </w:r>
    </w:p>
    <w:p w14:paraId="2B983042" w14:textId="379D1159" w:rsidR="0038461A" w:rsidRPr="00A16B6D" w:rsidRDefault="0038461A" w:rsidP="0038461A">
      <w:r>
        <w:t>Purified B cells were incubated with 0.1 µg/mL (3.6 </w:t>
      </w:r>
      <w:proofErr w:type="spellStart"/>
      <w:r>
        <w:t>nM</w:t>
      </w:r>
      <w:proofErr w:type="spellEnd"/>
      <w:r>
        <w:t>) BambL, 1.0 µg/mL (36 </w:t>
      </w:r>
      <w:proofErr w:type="spellStart"/>
      <w:r>
        <w:t>nM</w:t>
      </w:r>
      <w:proofErr w:type="spellEnd"/>
      <w:r>
        <w:t xml:space="preserve">) BambL, </w:t>
      </w:r>
      <w:r w:rsidRPr="00A16B6D">
        <w:t>1 µg/mL (9 </w:t>
      </w:r>
      <w:proofErr w:type="spellStart"/>
      <w:r w:rsidRPr="00A16B6D">
        <w:t>nM</w:t>
      </w:r>
      <w:proofErr w:type="spellEnd"/>
      <w:r w:rsidRPr="00A16B6D">
        <w:t>) F(ab’)</w:t>
      </w:r>
      <w:r w:rsidRPr="00A16B6D">
        <w:rPr>
          <w:vertAlign w:val="subscript"/>
        </w:rPr>
        <w:t>2</w:t>
      </w:r>
      <w:r w:rsidRPr="00A16B6D">
        <w:t xml:space="preserve"> anti</w:t>
      </w:r>
      <w:r w:rsidRPr="00A16B6D">
        <w:noBreakHyphen/>
        <w:t>human IgM (‘anti</w:t>
      </w:r>
      <w:r w:rsidRPr="00A16B6D">
        <w:noBreakHyphen/>
        <w:t>IgM’, Southern Biotech)</w:t>
      </w:r>
      <w:r>
        <w:t xml:space="preserve">, or left unstimulated for 16 h (n = 2). A second set of samples was supplemented with 25 ng/mL BAFF </w:t>
      </w:r>
      <w:r w:rsidR="0094063A">
        <w:t>(</w:t>
      </w:r>
      <w:r>
        <w:t xml:space="preserve">Thermo Fisher). Cells were stained with Alexa Fluor 647-conjugated Annexin V (Southern Biotech) and DAPI. </w:t>
      </w:r>
    </w:p>
    <w:p w14:paraId="5AC6DA10" w14:textId="4C0DCE50" w:rsidR="0038461A" w:rsidRDefault="0038461A" w:rsidP="0038461A">
      <w:pPr>
        <w:pStyle w:val="Heading3"/>
      </w:pPr>
      <w:r>
        <w:t>Comparison of B and T cell activation (Fig. S</w:t>
      </w:r>
      <w:r w:rsidR="005621EC">
        <w:t>4</w:t>
      </w:r>
      <w:r>
        <w:t>a)</w:t>
      </w:r>
    </w:p>
    <w:p w14:paraId="19A88164" w14:textId="77777777" w:rsidR="0038461A" w:rsidRDefault="0038461A" w:rsidP="0038461A">
      <w:r>
        <w:t>Total PBMCs were stimulated with either 0.1 µg/mL BambL, 1 µg/mL anti</w:t>
      </w:r>
      <w:r>
        <w:noBreakHyphen/>
        <w:t>IgM, anti</w:t>
      </w:r>
      <w:r>
        <w:noBreakHyphen/>
        <w:t>CD3 (</w:t>
      </w:r>
      <w:bookmarkStart w:id="1" w:name="_Hlk81255071"/>
      <w:r>
        <w:t>surface coating with a self-made ‘UCHL1’ antibody: 1 mg/mL for 1 h prior to cell seeding</w:t>
      </w:r>
      <w:bookmarkEnd w:id="1"/>
      <w:proofErr w:type="gramStart"/>
      <w:r>
        <w:t>), or</w:t>
      </w:r>
      <w:proofErr w:type="gramEnd"/>
      <w:r>
        <w:t xml:space="preserve"> left unstimulated for 16 h. Cells were stained with antibodies against CD19 or CD3 + CD4 (to identify B or T cells, respectively), and against CD69 (all samples). </w:t>
      </w:r>
      <w:bookmarkStart w:id="2" w:name="_Hlk81255272"/>
      <w:r>
        <w:t>F</w:t>
      </w:r>
      <w:r w:rsidRPr="00A16B6D">
        <w:t xml:space="preserve">requencies of </w:t>
      </w:r>
      <w:r>
        <w:t>viable cells</w:t>
      </w:r>
      <w:r w:rsidRPr="00A16B6D">
        <w:t xml:space="preserve"> were calculated </w:t>
      </w:r>
      <w:r>
        <w:t xml:space="preserve">relative to unstimulated controls. Bars represent mean fold changes </w:t>
      </w:r>
      <w:r>
        <w:rPr>
          <w:rFonts w:cstheme="minorHAnsi"/>
        </w:rPr>
        <w:t>±</w:t>
      </w:r>
      <w:r>
        <w:t> SD (n = 3</w:t>
      </w:r>
      <w:r w:rsidRPr="00A16B6D">
        <w:t>).</w:t>
      </w:r>
      <w:r>
        <w:t xml:space="preserve"> Statistical significance was evaluated by 2</w:t>
      </w:r>
      <w:r>
        <w:noBreakHyphen/>
        <w:t>way ANOVA with Tukey’s correction</w:t>
      </w:r>
      <w:bookmarkEnd w:id="2"/>
      <w:r>
        <w:t>.</w:t>
      </w:r>
    </w:p>
    <w:p w14:paraId="70788A2E" w14:textId="3ECE959B" w:rsidR="0038461A" w:rsidRDefault="0038461A" w:rsidP="0038461A">
      <w:pPr>
        <w:pStyle w:val="Heading3"/>
      </w:pPr>
      <w:r>
        <w:t>Analysis of T cell surface markers (Fig. S</w:t>
      </w:r>
      <w:r w:rsidR="005621EC">
        <w:t>4</w:t>
      </w:r>
      <w:r>
        <w:t>b and c)</w:t>
      </w:r>
    </w:p>
    <w:p w14:paraId="5B59F108" w14:textId="05726DAC" w:rsidR="0038461A" w:rsidRPr="00A16B6D" w:rsidRDefault="0038461A" w:rsidP="0038461A">
      <w:r>
        <w:t>Total PBMCs were stimulated with 0.1 µg/mL BambL or 1 µg/mL anti</w:t>
      </w:r>
      <w:r>
        <w:noBreakHyphen/>
        <w:t xml:space="preserve">CD3 </w:t>
      </w:r>
      <w:r w:rsidR="00C200DF">
        <w:t xml:space="preserve">(UCHL1) </w:t>
      </w:r>
      <w:r>
        <w:t>for 16 h. Control samples were left unstimulated. Cells were stained with antibodies against CD4, CD8, CD56, CD25, CTLA4 and TIGIT. Bars represent mean f</w:t>
      </w:r>
      <w:r w:rsidRPr="00A16B6D">
        <w:t xml:space="preserve">requencies of </w:t>
      </w:r>
      <w:r>
        <w:t xml:space="preserve">viable cells </w:t>
      </w:r>
      <w:r>
        <w:rPr>
          <w:rFonts w:cstheme="minorHAnsi"/>
        </w:rPr>
        <w:t>±</w:t>
      </w:r>
      <w:r>
        <w:t> SD (n = 4</w:t>
      </w:r>
      <w:r w:rsidRPr="00A16B6D">
        <w:t>).</w:t>
      </w:r>
      <w:r>
        <w:t xml:space="preserve"> Statistical significance was evaluated by 2</w:t>
      </w:r>
      <w:r>
        <w:noBreakHyphen/>
        <w:t>way ANOVA with Tukey’s correction.</w:t>
      </w:r>
    </w:p>
    <w:p w14:paraId="364E14E9" w14:textId="77777777" w:rsidR="0038461A" w:rsidRDefault="0038461A">
      <w:pPr>
        <w:jc w:val="left"/>
      </w:pPr>
    </w:p>
    <w:p w14:paraId="0B3BBFBE" w14:textId="08801FBC" w:rsidR="000531DA" w:rsidRPr="007F713C" w:rsidRDefault="000531DA">
      <w:pPr>
        <w:jc w:val="left"/>
        <w:rPr>
          <w:rFonts w:eastAsiaTheme="majorEastAsia" w:cstheme="majorBidi"/>
          <w:b/>
          <w:szCs w:val="26"/>
          <w:u w:val="single"/>
        </w:rPr>
      </w:pPr>
      <w:r w:rsidRPr="007F713C">
        <w:br w:type="page"/>
      </w:r>
    </w:p>
    <w:p w14:paraId="5283F637" w14:textId="67A57DBC" w:rsidR="004C7933" w:rsidRDefault="004C7933" w:rsidP="004C7933">
      <w:pPr>
        <w:jc w:val="center"/>
        <w:rPr>
          <w:lang w:val="de-DE"/>
        </w:rPr>
      </w:pPr>
      <w:r>
        <w:rPr>
          <w:noProof/>
        </w:rPr>
        <w:lastRenderedPageBreak/>
        <w:drawing>
          <wp:inline distT="0" distB="0" distL="0" distR="0" wp14:anchorId="52D58EE8" wp14:editId="65D82C8D">
            <wp:extent cx="5760000" cy="813499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813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9748C" w14:textId="77777777" w:rsidR="004C7933" w:rsidRPr="000531DA" w:rsidRDefault="004C7933" w:rsidP="004C7933">
      <w:pPr>
        <w:pStyle w:val="NoSpacing"/>
        <w:rPr>
          <w:b/>
          <w:bCs/>
        </w:rPr>
      </w:pPr>
      <w:r w:rsidRPr="000531DA">
        <w:rPr>
          <w:b/>
          <w:bCs/>
        </w:rPr>
        <w:t xml:space="preserve">Fig. S1 Time course of DAPI sensitivity and cell counts in </w:t>
      </w:r>
      <w:proofErr w:type="gramStart"/>
      <w:r w:rsidRPr="000531DA">
        <w:rPr>
          <w:b/>
          <w:bCs/>
        </w:rPr>
        <w:t>Lymphocytes</w:t>
      </w:r>
      <w:proofErr w:type="gramEnd"/>
      <w:r w:rsidRPr="000531DA">
        <w:rPr>
          <w:b/>
          <w:bCs/>
        </w:rPr>
        <w:t xml:space="preserve"> gate (supplement to Fig. 2)</w:t>
      </w:r>
    </w:p>
    <w:p w14:paraId="5348ED29" w14:textId="6664CFE7" w:rsidR="004C7933" w:rsidRPr="0061453A" w:rsidRDefault="004C7933" w:rsidP="004C7933">
      <w:pPr>
        <w:pStyle w:val="NoSpacing"/>
      </w:pPr>
      <w:r w:rsidRPr="0061453A">
        <w:t>B</w:t>
      </w:r>
      <w:r>
        <w:t> </w:t>
      </w:r>
      <w:r w:rsidRPr="0061453A">
        <w:t xml:space="preserve">cells were isolated </w:t>
      </w:r>
      <w:r w:rsidRPr="0061453A">
        <w:t>from PBMCs and cultivated in presence of three different BambL concentrations or left unstimulated for 4 days</w:t>
      </w:r>
      <w:r w:rsidR="0038461A">
        <w:t xml:space="preserve"> (n = 1 for each condition and time point)</w:t>
      </w:r>
      <w:r w:rsidRPr="0061453A">
        <w:t xml:space="preserve">. Samples were analyzed by flow cytometry after each day. </w:t>
      </w:r>
    </w:p>
    <w:p w14:paraId="2FBF109E" w14:textId="77777777" w:rsidR="004C7933" w:rsidRPr="0061453A" w:rsidRDefault="004C7933" w:rsidP="004C7933">
      <w:pPr>
        <w:pStyle w:val="NoSpacing"/>
        <w:ind w:left="270" w:hanging="270"/>
      </w:pPr>
      <w:r w:rsidRPr="0061453A">
        <w:rPr>
          <w:b/>
          <w:bCs/>
        </w:rPr>
        <w:t>a</w:t>
      </w:r>
      <w:r w:rsidRPr="0061453A">
        <w:tab/>
      </w:r>
      <w:r w:rsidRPr="0041336C">
        <w:rPr>
          <w:b/>
          <w:bCs/>
        </w:rPr>
        <w:t>DAPI sensitivity.</w:t>
      </w:r>
      <w:r w:rsidRPr="0061453A">
        <w:t xml:space="preserve"> Histograms of DAPI fluorescence; numbers indicate the frequencies of cells considered DAPI-positive in each sample.</w:t>
      </w:r>
    </w:p>
    <w:p w14:paraId="0EA23C28" w14:textId="67699541" w:rsidR="000531DA" w:rsidRPr="004C7933" w:rsidRDefault="004C7933" w:rsidP="004C7933">
      <w:pPr>
        <w:pStyle w:val="NoSpacing"/>
        <w:ind w:left="270" w:hanging="270"/>
      </w:pPr>
      <w:r>
        <w:rPr>
          <w:b/>
          <w:bCs/>
        </w:rPr>
        <w:t>b</w:t>
      </w:r>
      <w:r w:rsidRPr="0061453A">
        <w:tab/>
      </w:r>
      <w:r w:rsidRPr="0041336C">
        <w:rPr>
          <w:b/>
          <w:bCs/>
        </w:rPr>
        <w:t>Light scattering behavior.</w:t>
      </w:r>
      <w:r w:rsidRPr="0061453A">
        <w:t xml:space="preserve"> Sideward (SSC) versus forward (FSC) scattering; numbers indicate frequencies in the </w:t>
      </w:r>
      <w:proofErr w:type="gramStart"/>
      <w:r w:rsidRPr="0061453A">
        <w:t>lymphocytes</w:t>
      </w:r>
      <w:proofErr w:type="gramEnd"/>
      <w:r w:rsidRPr="0061453A">
        <w:t xml:space="preserve"> gates.</w:t>
      </w:r>
      <w:r w:rsidR="000531DA" w:rsidRPr="004C7933">
        <w:br w:type="page"/>
      </w:r>
    </w:p>
    <w:p w14:paraId="4AAF4262" w14:textId="196C84F4" w:rsidR="00534B4A" w:rsidRDefault="00534B4A">
      <w:pPr>
        <w:jc w:val="left"/>
      </w:pPr>
      <w:bookmarkStart w:id="3" w:name="_Toc59386119"/>
      <w:r>
        <w:rPr>
          <w:noProof/>
        </w:rPr>
        <w:lastRenderedPageBreak/>
        <w:drawing>
          <wp:inline distT="0" distB="0" distL="0" distR="0" wp14:anchorId="314854BF" wp14:editId="095EEB10">
            <wp:extent cx="5788660" cy="401955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66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BEAA3" w14:textId="42CE294E" w:rsidR="00534B4A" w:rsidRPr="00E93DF2" w:rsidRDefault="00534B4A" w:rsidP="00E93DF2">
      <w:pPr>
        <w:pStyle w:val="NoSpacing"/>
        <w:rPr>
          <w:b/>
          <w:bCs/>
        </w:rPr>
      </w:pPr>
      <w:r w:rsidRPr="00E93DF2">
        <w:rPr>
          <w:b/>
          <w:bCs/>
        </w:rPr>
        <w:t xml:space="preserve">Fig. S2 BambL does not induce B cell proliferation </w:t>
      </w:r>
      <w:r w:rsidR="00E93DF2" w:rsidRPr="00E93DF2">
        <w:rPr>
          <w:b/>
          <w:bCs/>
        </w:rPr>
        <w:t>at a non-toxic concentration</w:t>
      </w:r>
    </w:p>
    <w:p w14:paraId="6C7BA387" w14:textId="040DAF93" w:rsidR="00E93DF2" w:rsidRDefault="00E93DF2" w:rsidP="00E93DF2">
      <w:r>
        <w:t xml:space="preserve">Purified B cells were labeled with </w:t>
      </w:r>
      <w:proofErr w:type="spellStart"/>
      <w:r>
        <w:t>CellTrace</w:t>
      </w:r>
      <w:proofErr w:type="spellEnd"/>
      <w:r>
        <w:t xml:space="preserve"> Violet and cultivated in presence of 0.1 µg/mL BambL for 4 days. As controls, cells were stimulated with CpG oligonucleotides + BAFF or left unstimulated. Plots are representative of n = 4.</w:t>
      </w:r>
    </w:p>
    <w:p w14:paraId="774EB3AF" w14:textId="77777777" w:rsidR="00E93DF2" w:rsidRPr="00EC594F" w:rsidRDefault="00E93DF2" w:rsidP="00EC594F">
      <w:pPr>
        <w:pStyle w:val="NoSpacing"/>
        <w:ind w:left="270" w:hanging="270"/>
        <w:rPr>
          <w:b/>
          <w:bCs/>
        </w:rPr>
      </w:pPr>
      <w:r w:rsidRPr="00EC594F">
        <w:rPr>
          <w:b/>
          <w:bCs/>
        </w:rPr>
        <w:t>a</w:t>
      </w:r>
      <w:r w:rsidRPr="00EC594F">
        <w:rPr>
          <w:b/>
          <w:bCs/>
        </w:rPr>
        <w:tab/>
        <w:t xml:space="preserve">Proportion of viable B cells is </w:t>
      </w:r>
      <w:proofErr w:type="gramStart"/>
      <w:r w:rsidRPr="00EC594F">
        <w:rPr>
          <w:b/>
          <w:bCs/>
        </w:rPr>
        <w:t>similar to</w:t>
      </w:r>
      <w:proofErr w:type="gramEnd"/>
      <w:r w:rsidRPr="00EC594F">
        <w:rPr>
          <w:b/>
          <w:bCs/>
        </w:rPr>
        <w:t xml:space="preserve"> unstimulated controls. </w:t>
      </w:r>
      <w:r w:rsidRPr="00EC594F">
        <w:t>Light scattering plots demonstrate no changes in viable B cell numbers upon BambL stimulation, unlike CpG + BAFF.</w:t>
      </w:r>
    </w:p>
    <w:p w14:paraId="7B71AD27" w14:textId="775CCA4E" w:rsidR="00E93DF2" w:rsidRPr="00EC594F" w:rsidRDefault="00E93DF2" w:rsidP="00EC594F">
      <w:pPr>
        <w:pStyle w:val="NoSpacing"/>
        <w:ind w:left="270" w:hanging="270"/>
      </w:pPr>
      <w:r w:rsidRPr="00EC594F">
        <w:rPr>
          <w:b/>
          <w:bCs/>
        </w:rPr>
        <w:t>b</w:t>
      </w:r>
      <w:r w:rsidRPr="00EC594F">
        <w:rPr>
          <w:b/>
          <w:bCs/>
        </w:rPr>
        <w:tab/>
        <w:t xml:space="preserve">Fluorescence histogram of the proliferation dye remains unchanged. </w:t>
      </w:r>
      <w:r w:rsidRPr="00EC594F">
        <w:t>BambL-treated cells present a single fluorescence peak</w:t>
      </w:r>
      <w:r w:rsidR="00B0503D" w:rsidRPr="00EC594F">
        <w:t>, whereas CpG + BAFF induced 6 to 7 additional peaks at lower fluorescence intensity (representing 6 to 7 cell divisions)</w:t>
      </w:r>
      <w:r w:rsidRPr="00EC594F">
        <w:t>.</w:t>
      </w:r>
    </w:p>
    <w:p w14:paraId="7A136295" w14:textId="77777777" w:rsidR="00E93DF2" w:rsidRDefault="00E93DF2">
      <w:pPr>
        <w:jc w:val="left"/>
      </w:pPr>
    </w:p>
    <w:p w14:paraId="4D73729F" w14:textId="77777777" w:rsidR="00534B4A" w:rsidRDefault="00534B4A">
      <w:pPr>
        <w:jc w:val="left"/>
      </w:pPr>
    </w:p>
    <w:p w14:paraId="21F5E0C2" w14:textId="409273DB" w:rsidR="004C7933" w:rsidRDefault="004C7933">
      <w:pPr>
        <w:jc w:val="left"/>
      </w:pPr>
      <w:r>
        <w:rPr>
          <w:noProof/>
        </w:rPr>
        <w:drawing>
          <wp:inline distT="0" distB="0" distL="0" distR="0" wp14:anchorId="043B7D28" wp14:editId="1160A236">
            <wp:extent cx="6262370" cy="1821180"/>
            <wp:effectExtent l="0" t="0" r="508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370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71F61" w14:textId="668DFF65" w:rsidR="004C7933" w:rsidRPr="000531DA" w:rsidRDefault="004C7933" w:rsidP="004C7933">
      <w:pPr>
        <w:pStyle w:val="NoSpacing"/>
        <w:rPr>
          <w:b/>
          <w:bCs/>
        </w:rPr>
      </w:pPr>
      <w:r w:rsidRPr="000531DA">
        <w:rPr>
          <w:b/>
          <w:bCs/>
        </w:rPr>
        <w:t>Fig. S</w:t>
      </w:r>
      <w:r w:rsidR="005621EC">
        <w:rPr>
          <w:b/>
          <w:bCs/>
        </w:rPr>
        <w:t>3</w:t>
      </w:r>
      <w:r w:rsidRPr="000531DA">
        <w:rPr>
          <w:b/>
          <w:bCs/>
        </w:rPr>
        <w:t xml:space="preserve"> High BambL concentrations are cytotoxic and are not counteracted by BAFF</w:t>
      </w:r>
    </w:p>
    <w:p w14:paraId="4DBB8DF3" w14:textId="4FF8EBF4" w:rsidR="004C7933" w:rsidRPr="00B72697" w:rsidRDefault="004C7933" w:rsidP="004C7933">
      <w:pPr>
        <w:pStyle w:val="NoSpacing"/>
      </w:pPr>
      <w:r>
        <w:t>Isolated B cells</w:t>
      </w:r>
      <w:r w:rsidRPr="00730DFB">
        <w:t xml:space="preserve"> were exposed to 0.1 µg/mL BambL, 1.0 µg/mL BambL, 1.0 µg/mL anti-IgM</w:t>
      </w:r>
      <w:r>
        <w:t xml:space="preserve"> (‘</w:t>
      </w:r>
      <w:proofErr w:type="spellStart"/>
      <w:r>
        <w:t>aIgM</w:t>
      </w:r>
      <w:proofErr w:type="spellEnd"/>
      <w:r>
        <w:t>’)</w:t>
      </w:r>
      <w:r w:rsidRPr="00730DFB">
        <w:t xml:space="preserve"> or left unstimulated</w:t>
      </w:r>
      <w:r>
        <w:t xml:space="preserve"> (‘ctrl’)</w:t>
      </w:r>
      <w:r w:rsidRPr="00730DFB">
        <w:t xml:space="preserve">. A second set of samples was supplemented with 25 ng/mL BAFF. After 16 h, the cells were collected and stained with Annexin V and DAPI to </w:t>
      </w:r>
      <w:r>
        <w:t xml:space="preserve">roughly </w:t>
      </w:r>
      <w:r w:rsidRPr="00730DFB">
        <w:t>characterize cell viability in flow-cytometric analyses. Gray bars are mean values of n = 2, circles represent individual data points.</w:t>
      </w:r>
    </w:p>
    <w:p w14:paraId="007A2089" w14:textId="77777777" w:rsidR="0038461A" w:rsidRDefault="0038461A">
      <w:pPr>
        <w:jc w:val="left"/>
      </w:pPr>
    </w:p>
    <w:p w14:paraId="207C22C9" w14:textId="202682F1" w:rsidR="001B5D8D" w:rsidRDefault="001B5D8D">
      <w:pPr>
        <w:jc w:val="left"/>
      </w:pPr>
      <w:r>
        <w:br w:type="page"/>
      </w:r>
    </w:p>
    <w:p w14:paraId="19C21AE7" w14:textId="77777777" w:rsidR="00193D4E" w:rsidRDefault="00193D4E" w:rsidP="00193D4E">
      <w:pPr>
        <w:jc w:val="left"/>
      </w:pPr>
    </w:p>
    <w:p w14:paraId="5C929177" w14:textId="01CC2230" w:rsidR="00193D4E" w:rsidRDefault="001B5D8D" w:rsidP="004C7933">
      <w:pPr>
        <w:jc w:val="center"/>
      </w:pPr>
      <w:r>
        <w:rPr>
          <w:noProof/>
        </w:rPr>
        <w:drawing>
          <wp:inline distT="0" distB="0" distL="0" distR="0" wp14:anchorId="1FC40539" wp14:editId="55499EB4">
            <wp:extent cx="4110485" cy="6632293"/>
            <wp:effectExtent l="0" t="0" r="444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436" cy="6638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961BB4" w14:textId="2D516D05" w:rsidR="004C7933" w:rsidRPr="00EB433F" w:rsidRDefault="004C7933" w:rsidP="00EB433F">
      <w:pPr>
        <w:pStyle w:val="NoSpacing"/>
        <w:rPr>
          <w:b/>
          <w:bCs/>
        </w:rPr>
      </w:pPr>
      <w:r w:rsidRPr="00EB433F">
        <w:rPr>
          <w:b/>
          <w:bCs/>
        </w:rPr>
        <w:t>Fig. S</w:t>
      </w:r>
      <w:r w:rsidR="005621EC">
        <w:rPr>
          <w:b/>
          <w:bCs/>
        </w:rPr>
        <w:t>4</w:t>
      </w:r>
      <w:r w:rsidRPr="00EB433F">
        <w:rPr>
          <w:b/>
          <w:bCs/>
        </w:rPr>
        <w:t xml:space="preserve"> BambL activates human T</w:t>
      </w:r>
      <w:r w:rsidR="00A34794" w:rsidRPr="00EB433F">
        <w:rPr>
          <w:b/>
          <w:bCs/>
        </w:rPr>
        <w:t xml:space="preserve"> </w:t>
      </w:r>
      <w:r w:rsidRPr="00EB433F">
        <w:rPr>
          <w:b/>
          <w:bCs/>
        </w:rPr>
        <w:t>cells</w:t>
      </w:r>
      <w:r w:rsidR="00825C4E" w:rsidRPr="00EB433F">
        <w:rPr>
          <w:b/>
          <w:bCs/>
        </w:rPr>
        <w:t xml:space="preserve"> and induces a </w:t>
      </w:r>
      <w:r w:rsidR="00296A90" w:rsidRPr="00EB433F">
        <w:rPr>
          <w:b/>
          <w:bCs/>
        </w:rPr>
        <w:t>CD25</w:t>
      </w:r>
      <w:r w:rsidR="00296A90" w:rsidRPr="00084F23">
        <w:rPr>
          <w:b/>
          <w:bCs/>
          <w:vertAlign w:val="superscript"/>
        </w:rPr>
        <w:t>+</w:t>
      </w:r>
      <w:r w:rsidR="00296A90" w:rsidRPr="00EB433F">
        <w:rPr>
          <w:b/>
          <w:bCs/>
        </w:rPr>
        <w:t xml:space="preserve"> CTLA4</w:t>
      </w:r>
      <w:r w:rsidR="00296A90" w:rsidRPr="00084F23">
        <w:rPr>
          <w:b/>
          <w:bCs/>
          <w:vertAlign w:val="superscript"/>
        </w:rPr>
        <w:t>+</w:t>
      </w:r>
      <w:r w:rsidR="00296A90" w:rsidRPr="00EB433F">
        <w:rPr>
          <w:b/>
          <w:bCs/>
        </w:rPr>
        <w:t xml:space="preserve"> </w:t>
      </w:r>
      <w:r w:rsidR="00825C4E" w:rsidRPr="00EB433F">
        <w:rPr>
          <w:b/>
          <w:bCs/>
        </w:rPr>
        <w:t>T</w:t>
      </w:r>
      <w:r w:rsidR="00825C4E" w:rsidRPr="00084F23">
        <w:rPr>
          <w:b/>
          <w:bCs/>
          <w:vertAlign w:val="subscript"/>
        </w:rPr>
        <w:t>reg</w:t>
      </w:r>
      <w:r w:rsidR="00825C4E" w:rsidRPr="00EB433F">
        <w:rPr>
          <w:b/>
          <w:bCs/>
        </w:rPr>
        <w:t xml:space="preserve"> phenotype.</w:t>
      </w:r>
    </w:p>
    <w:p w14:paraId="413EC710" w14:textId="0E9F8B47" w:rsidR="00825C4E" w:rsidRDefault="00825C4E" w:rsidP="004C7933">
      <w:r>
        <w:t xml:space="preserve">PBMCs were cultivated in presence of different stimuli for 16 h, then analyzed by flow cytometry. Statistical significance (ANOVA with Tukey’s correction): </w:t>
      </w:r>
      <w:r w:rsidRPr="00CE59BD">
        <w:t xml:space="preserve">ns (p&gt;0.05), </w:t>
      </w:r>
      <w:r w:rsidRPr="00CE59BD">
        <w:rPr>
          <w:rFonts w:ascii="Cambria Math" w:hAnsi="Cambria Math" w:cs="Cambria Math"/>
        </w:rPr>
        <w:t>∗</w:t>
      </w:r>
      <w:r w:rsidRPr="00CE59BD">
        <w:t xml:space="preserve"> (p</w:t>
      </w:r>
      <w:r w:rsidRPr="00CE59BD">
        <w:rPr>
          <w:rFonts w:ascii="Calibri" w:hAnsi="Calibri" w:cs="Calibri"/>
        </w:rPr>
        <w:t>≤</w:t>
      </w:r>
      <w:r w:rsidRPr="00CE59BD">
        <w:t xml:space="preserve">0.05), </w:t>
      </w:r>
      <w:r w:rsidRPr="00CE59BD">
        <w:rPr>
          <w:rFonts w:ascii="Cambria Math" w:hAnsi="Cambria Math" w:cs="Cambria Math"/>
        </w:rPr>
        <w:t>∗∗</w:t>
      </w:r>
      <w:r w:rsidRPr="00CE59BD">
        <w:rPr>
          <w:rFonts w:ascii="Calibri" w:hAnsi="Calibri" w:cs="Calibri"/>
        </w:rPr>
        <w:t> </w:t>
      </w:r>
      <w:r w:rsidRPr="00CE59BD">
        <w:t>(p</w:t>
      </w:r>
      <w:r w:rsidRPr="00CE59BD">
        <w:rPr>
          <w:rFonts w:ascii="Calibri" w:hAnsi="Calibri" w:cs="Calibri"/>
        </w:rPr>
        <w:t>≤</w:t>
      </w:r>
      <w:r w:rsidRPr="00CE59BD">
        <w:t xml:space="preserve">0.01), </w:t>
      </w:r>
      <w:r w:rsidRPr="00CE59BD">
        <w:rPr>
          <w:rFonts w:ascii="Cambria Math" w:hAnsi="Cambria Math" w:cs="Cambria Math"/>
        </w:rPr>
        <w:t>∗∗∗</w:t>
      </w:r>
      <w:r w:rsidRPr="00CE59BD">
        <w:t xml:space="preserve"> (p</w:t>
      </w:r>
      <w:r w:rsidRPr="00CE59BD">
        <w:rPr>
          <w:rFonts w:ascii="Calibri" w:hAnsi="Calibri" w:cs="Calibri"/>
        </w:rPr>
        <w:t>≤</w:t>
      </w:r>
      <w:r w:rsidRPr="00CE59BD">
        <w:t xml:space="preserve">0.001), </w:t>
      </w:r>
      <w:r w:rsidRPr="00CE59BD">
        <w:rPr>
          <w:rFonts w:ascii="Cambria Math" w:hAnsi="Cambria Math" w:cs="Cambria Math"/>
        </w:rPr>
        <w:t>∗∗∗∗</w:t>
      </w:r>
      <w:r w:rsidRPr="00CE59BD">
        <w:t xml:space="preserve"> (p</w:t>
      </w:r>
      <w:r w:rsidRPr="00CE59BD">
        <w:rPr>
          <w:rFonts w:ascii="Calibri" w:hAnsi="Calibri" w:cs="Calibri"/>
        </w:rPr>
        <w:t>≤</w:t>
      </w:r>
      <w:r w:rsidRPr="00CE59BD">
        <w:t>0.0001)</w:t>
      </w:r>
      <w:r>
        <w:t>.</w:t>
      </w:r>
    </w:p>
    <w:p w14:paraId="36B18EAD" w14:textId="61586A01" w:rsidR="004C7933" w:rsidRDefault="00A34794" w:rsidP="00A34794">
      <w:pPr>
        <w:ind w:left="270" w:hanging="270"/>
      </w:pPr>
      <w:r w:rsidRPr="00A34794">
        <w:rPr>
          <w:b/>
          <w:bCs/>
        </w:rPr>
        <w:t>a</w:t>
      </w:r>
      <w:r w:rsidRPr="00A34794">
        <w:rPr>
          <w:b/>
          <w:bCs/>
        </w:rPr>
        <w:tab/>
      </w:r>
      <w:r w:rsidR="00B03D81">
        <w:rPr>
          <w:b/>
          <w:bCs/>
        </w:rPr>
        <w:t>BambL induces CD69 expression in both CD4</w:t>
      </w:r>
      <w:r w:rsidR="00B03D81" w:rsidRPr="00B03D81">
        <w:rPr>
          <w:b/>
          <w:bCs/>
          <w:vertAlign w:val="superscript"/>
        </w:rPr>
        <w:t>+</w:t>
      </w:r>
      <w:r w:rsidR="00B03D81">
        <w:rPr>
          <w:b/>
          <w:bCs/>
        </w:rPr>
        <w:t xml:space="preserve"> and CD4</w:t>
      </w:r>
      <w:r w:rsidR="00B03D81" w:rsidRPr="00B03D81">
        <w:rPr>
          <w:b/>
          <w:bCs/>
          <w:vertAlign w:val="superscript"/>
        </w:rPr>
        <w:t>-</w:t>
      </w:r>
      <w:r w:rsidR="00B03D81">
        <w:rPr>
          <w:b/>
          <w:bCs/>
        </w:rPr>
        <w:t xml:space="preserve"> T cells</w:t>
      </w:r>
      <w:r>
        <w:t xml:space="preserve">. </w:t>
      </w:r>
      <w:r w:rsidR="004C7933">
        <w:t xml:space="preserve">PBMCs were </w:t>
      </w:r>
      <w:r>
        <w:t>stimulated with</w:t>
      </w:r>
      <w:r w:rsidR="004C7933">
        <w:t xml:space="preserve"> </w:t>
      </w:r>
      <w:r>
        <w:t>0.1 µg/mL BambL, 1 µg/mL anti</w:t>
      </w:r>
      <w:r>
        <w:noBreakHyphen/>
        <w:t xml:space="preserve">IgM, or </w:t>
      </w:r>
      <w:r w:rsidR="00825C4E">
        <w:t xml:space="preserve">a surface coating of </w:t>
      </w:r>
      <w:r>
        <w:t>anti-CD3</w:t>
      </w:r>
      <w:r w:rsidR="004C7933">
        <w:t>.</w:t>
      </w:r>
      <w:r w:rsidR="00825C4E">
        <w:t xml:space="preserve"> </w:t>
      </w:r>
      <w:r w:rsidR="00B03D81">
        <w:t xml:space="preserve">Bars represent mean fold changes of viable cells versus unstimulated controls </w:t>
      </w:r>
      <w:r w:rsidR="00B03D81">
        <w:rPr>
          <w:rFonts w:cstheme="minorHAnsi"/>
        </w:rPr>
        <w:t>±</w:t>
      </w:r>
      <w:r w:rsidR="00B03D81">
        <w:t> SD (n = 3</w:t>
      </w:r>
      <w:r w:rsidR="00B03D81" w:rsidRPr="00A16B6D">
        <w:t>)</w:t>
      </w:r>
      <w:r w:rsidR="00B03D81">
        <w:t xml:space="preserve">. </w:t>
      </w:r>
      <w:r w:rsidR="00825C4E">
        <w:t>B cells displayed a stronger increase in the proportion of CD69</w:t>
      </w:r>
      <w:r w:rsidR="00825C4E" w:rsidRPr="00A542BD">
        <w:rPr>
          <w:vertAlign w:val="superscript"/>
        </w:rPr>
        <w:t>+</w:t>
      </w:r>
      <w:r w:rsidR="00825C4E">
        <w:t xml:space="preserve"> cells after BambL exposure than </w:t>
      </w:r>
      <w:r w:rsidR="00A542BD">
        <w:t>either T cell subset.</w:t>
      </w:r>
    </w:p>
    <w:p w14:paraId="12A93C2A" w14:textId="39D5FD05" w:rsidR="00C75614" w:rsidRDefault="00C75614" w:rsidP="00A34794">
      <w:pPr>
        <w:ind w:left="270" w:hanging="270"/>
      </w:pPr>
      <w:r w:rsidRPr="00F43DEA">
        <w:rPr>
          <w:b/>
          <w:bCs/>
        </w:rPr>
        <w:t>b</w:t>
      </w:r>
      <w:r w:rsidRPr="00F43DEA">
        <w:rPr>
          <w:b/>
          <w:bCs/>
        </w:rPr>
        <w:tab/>
      </w:r>
      <w:r w:rsidR="00296A90">
        <w:rPr>
          <w:b/>
          <w:bCs/>
        </w:rPr>
        <w:t>CTLA4</w:t>
      </w:r>
      <w:r w:rsidR="00296A90" w:rsidRPr="00296A90">
        <w:rPr>
          <w:b/>
          <w:bCs/>
          <w:vertAlign w:val="superscript"/>
        </w:rPr>
        <w:t>+</w:t>
      </w:r>
      <w:r w:rsidR="00296A90">
        <w:rPr>
          <w:b/>
          <w:bCs/>
        </w:rPr>
        <w:t xml:space="preserve"> </w:t>
      </w:r>
      <w:r w:rsidRPr="00F43DEA">
        <w:rPr>
          <w:b/>
          <w:bCs/>
        </w:rPr>
        <w:t>CD4</w:t>
      </w:r>
      <w:r w:rsidRPr="00296A90">
        <w:rPr>
          <w:b/>
          <w:bCs/>
          <w:vertAlign w:val="superscript"/>
        </w:rPr>
        <w:t>+</w:t>
      </w:r>
      <w:r w:rsidRPr="00F43DEA">
        <w:rPr>
          <w:b/>
          <w:bCs/>
        </w:rPr>
        <w:t xml:space="preserve"> T cell</w:t>
      </w:r>
      <w:r w:rsidR="00296A90">
        <w:rPr>
          <w:b/>
          <w:bCs/>
        </w:rPr>
        <w:t>s</w:t>
      </w:r>
      <w:r w:rsidR="00F43DEA">
        <w:rPr>
          <w:b/>
          <w:bCs/>
        </w:rPr>
        <w:t xml:space="preserve"> </w:t>
      </w:r>
      <w:r w:rsidR="00296A90">
        <w:rPr>
          <w:b/>
          <w:bCs/>
        </w:rPr>
        <w:t xml:space="preserve">experience </w:t>
      </w:r>
      <w:r w:rsidR="00F43DEA">
        <w:rPr>
          <w:b/>
          <w:bCs/>
        </w:rPr>
        <w:t>TIGIT</w:t>
      </w:r>
      <w:r w:rsidR="00296A90">
        <w:rPr>
          <w:b/>
          <w:bCs/>
        </w:rPr>
        <w:t xml:space="preserve"> downmodulation but CD25 upregulation</w:t>
      </w:r>
      <w:r w:rsidR="00F43DEA" w:rsidRPr="00296A90">
        <w:t>.</w:t>
      </w:r>
      <w:r w:rsidR="00F43DEA">
        <w:t xml:space="preserve"> PBMCs were stimulated with 0.1 µg/mL BambL or 1 µg/mL anti-CD3. </w:t>
      </w:r>
      <w:r w:rsidR="00E842CC">
        <w:t>Bars represent mean f</w:t>
      </w:r>
      <w:r w:rsidR="00E842CC" w:rsidRPr="00A16B6D">
        <w:t xml:space="preserve">requencies of </w:t>
      </w:r>
      <w:r w:rsidR="00E842CC">
        <w:t xml:space="preserve">viable cells </w:t>
      </w:r>
      <w:r w:rsidR="00E842CC">
        <w:rPr>
          <w:rFonts w:cstheme="minorHAnsi"/>
        </w:rPr>
        <w:t>±</w:t>
      </w:r>
      <w:r w:rsidR="00E842CC">
        <w:t> SD (n = 4</w:t>
      </w:r>
      <w:r w:rsidR="00E842CC" w:rsidRPr="00A16B6D">
        <w:t>)</w:t>
      </w:r>
      <w:r w:rsidR="00E842CC">
        <w:t xml:space="preserve">. </w:t>
      </w:r>
      <w:r w:rsidR="00F43DEA">
        <w:t xml:space="preserve">Both stimuli caused </w:t>
      </w:r>
      <w:r w:rsidR="00296A90">
        <w:t>a loss of TIGIT expression among CTLA4</w:t>
      </w:r>
      <w:r w:rsidR="00296A90" w:rsidRPr="001148AF">
        <w:rPr>
          <w:vertAlign w:val="superscript"/>
        </w:rPr>
        <w:t>+</w:t>
      </w:r>
      <w:r w:rsidR="00296A90">
        <w:t xml:space="preserve"> cells, but only BambL stimulated CD25 upregulation.</w:t>
      </w:r>
    </w:p>
    <w:p w14:paraId="06A533EE" w14:textId="49F75C98" w:rsidR="00084DD4" w:rsidRPr="001148AF" w:rsidRDefault="00084DD4" w:rsidP="00A34794">
      <w:pPr>
        <w:ind w:left="270" w:hanging="270"/>
      </w:pPr>
      <w:r w:rsidRPr="001148AF">
        <w:rPr>
          <w:b/>
          <w:bCs/>
        </w:rPr>
        <w:t>c</w:t>
      </w:r>
      <w:r w:rsidRPr="001148AF">
        <w:rPr>
          <w:b/>
          <w:bCs/>
        </w:rPr>
        <w:tab/>
        <w:t>C</w:t>
      </w:r>
      <w:r w:rsidR="001148AF" w:rsidRPr="001148AF">
        <w:rPr>
          <w:b/>
          <w:bCs/>
        </w:rPr>
        <w:t xml:space="preserve">ytotoxic T lymphocytes (CTLs) </w:t>
      </w:r>
      <w:r w:rsidR="001148AF">
        <w:rPr>
          <w:b/>
          <w:bCs/>
        </w:rPr>
        <w:t>increase CTLA4</w:t>
      </w:r>
      <w:r w:rsidR="001148AF" w:rsidRPr="005E2E23">
        <w:rPr>
          <w:b/>
          <w:bCs/>
          <w:vertAlign w:val="superscript"/>
        </w:rPr>
        <w:t>+</w:t>
      </w:r>
      <w:r w:rsidR="001148AF">
        <w:rPr>
          <w:b/>
          <w:bCs/>
        </w:rPr>
        <w:t xml:space="preserve"> CD25</w:t>
      </w:r>
      <w:r w:rsidR="001148AF" w:rsidRPr="005E2E23">
        <w:rPr>
          <w:b/>
          <w:bCs/>
          <w:vertAlign w:val="superscript"/>
        </w:rPr>
        <w:t>+</w:t>
      </w:r>
      <w:r w:rsidR="001148AF">
        <w:rPr>
          <w:b/>
          <w:bCs/>
        </w:rPr>
        <w:t xml:space="preserve"> expression. </w:t>
      </w:r>
      <w:r w:rsidR="001148AF">
        <w:t>PBMCs were stimulated as in Fig. S3b</w:t>
      </w:r>
      <w:r w:rsidR="00E842CC">
        <w:t xml:space="preserve"> (n = 4)</w:t>
      </w:r>
      <w:r w:rsidR="001148AF">
        <w:t>. BambL elicited an increase of the CTLA4</w:t>
      </w:r>
      <w:r w:rsidR="001148AF" w:rsidRPr="005E2E23">
        <w:rPr>
          <w:vertAlign w:val="superscript"/>
        </w:rPr>
        <w:t>+</w:t>
      </w:r>
      <w:r w:rsidR="001148AF">
        <w:t xml:space="preserve"> CD25</w:t>
      </w:r>
      <w:r w:rsidR="001148AF" w:rsidRPr="005E2E23">
        <w:rPr>
          <w:vertAlign w:val="superscript"/>
        </w:rPr>
        <w:t>+</w:t>
      </w:r>
      <w:r w:rsidR="001148AF">
        <w:t xml:space="preserve"> fraction among CTLs (CD8</w:t>
      </w:r>
      <w:r w:rsidR="001148AF" w:rsidRPr="005E2E23">
        <w:rPr>
          <w:vertAlign w:val="superscript"/>
        </w:rPr>
        <w:t>+</w:t>
      </w:r>
      <w:r w:rsidR="001148AF">
        <w:t xml:space="preserve"> CD56</w:t>
      </w:r>
      <w:r w:rsidR="001148AF" w:rsidRPr="005E2E23">
        <w:rPr>
          <w:vertAlign w:val="superscript"/>
        </w:rPr>
        <w:t>-</w:t>
      </w:r>
      <w:r w:rsidR="001148AF">
        <w:t xml:space="preserve">), but TIGIT levels remained unchanged. </w:t>
      </w:r>
      <w:r w:rsidR="005E2E23">
        <w:t>Receptor expression in n</w:t>
      </w:r>
      <w:r w:rsidR="001148AF">
        <w:t>atural killer cells (NK cells, CD8</w:t>
      </w:r>
      <w:r w:rsidR="001148AF" w:rsidRPr="005E2E23">
        <w:rPr>
          <w:vertAlign w:val="superscript"/>
        </w:rPr>
        <w:t>+</w:t>
      </w:r>
      <w:r w:rsidR="001148AF">
        <w:t xml:space="preserve"> CD56</w:t>
      </w:r>
      <w:r w:rsidR="001148AF" w:rsidRPr="005E2E23">
        <w:rPr>
          <w:vertAlign w:val="superscript"/>
        </w:rPr>
        <w:t>+</w:t>
      </w:r>
      <w:r w:rsidR="001148AF">
        <w:t xml:space="preserve">) </w:t>
      </w:r>
      <w:r w:rsidR="005E2E23">
        <w:t>was</w:t>
      </w:r>
      <w:r w:rsidR="001148AF">
        <w:t xml:space="preserve"> unaffected by BambL stimulation.</w:t>
      </w:r>
    </w:p>
    <w:p w14:paraId="670383CF" w14:textId="7F5D5BE3" w:rsidR="00A06429" w:rsidRDefault="00C80F0D" w:rsidP="00193D4E">
      <w:pPr>
        <w:jc w:val="left"/>
      </w:pPr>
      <w:r>
        <w:rPr>
          <w:noProof/>
          <w:szCs w:val="20"/>
        </w:rPr>
        <w:lastRenderedPageBreak/>
        <w:drawing>
          <wp:inline distT="0" distB="0" distL="0" distR="0" wp14:anchorId="500627AF" wp14:editId="22CF4E07">
            <wp:extent cx="6576216" cy="2714263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7638" cy="272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429" w:rsidRPr="001148AF">
        <w:t xml:space="preserve"> </w:t>
      </w:r>
    </w:p>
    <w:p w14:paraId="536C2AEE" w14:textId="1B80D5C5" w:rsidR="00A06429" w:rsidRPr="00775481" w:rsidRDefault="00A06429" w:rsidP="00A06429">
      <w:pPr>
        <w:pStyle w:val="NoSpacing"/>
        <w:rPr>
          <w:b/>
          <w:bCs/>
        </w:rPr>
      </w:pPr>
      <w:r w:rsidRPr="00775481">
        <w:rPr>
          <w:b/>
          <w:bCs/>
        </w:rPr>
        <w:t xml:space="preserve">Fig. </w:t>
      </w:r>
      <w:r w:rsidRPr="00775481">
        <w:rPr>
          <w:b/>
          <w:bCs/>
        </w:rPr>
        <w:t>S</w:t>
      </w:r>
      <w:r w:rsidR="005621EC">
        <w:rPr>
          <w:b/>
          <w:bCs/>
        </w:rPr>
        <w:t>5</w:t>
      </w:r>
      <w:r w:rsidRPr="00775481">
        <w:rPr>
          <w:b/>
          <w:bCs/>
        </w:rPr>
        <w:t xml:space="preserve"> Anti-IgM depletes the BCR but not CD19 (supplement to Fig. 6b)</w:t>
      </w:r>
    </w:p>
    <w:p w14:paraId="77B7D26F" w14:textId="6E5DA441" w:rsidR="00A06429" w:rsidRPr="00842BF2" w:rsidRDefault="00A06429" w:rsidP="00A06429">
      <w:pPr>
        <w:pStyle w:val="NoSpacing"/>
      </w:pPr>
      <w:r w:rsidRPr="00842BF2">
        <w:t xml:space="preserve">Cell samples were prepared as for </w:t>
      </w:r>
      <w:r w:rsidRPr="00842BF2">
        <w:rPr>
          <w:b/>
          <w:bCs/>
        </w:rPr>
        <w:t>Fig. 6b</w:t>
      </w:r>
      <w:r w:rsidRPr="00842BF2">
        <w:t xml:space="preserve">, except that BambL was replaced with </w:t>
      </w:r>
      <w:r w:rsidR="00C37CB3">
        <w:t xml:space="preserve">1 µg/mL </w:t>
      </w:r>
      <w:r w:rsidRPr="00842BF2">
        <w:t>anti</w:t>
      </w:r>
      <w:r w:rsidRPr="00842BF2">
        <w:noBreakHyphen/>
        <w:t>IgM F(ab’)</w:t>
      </w:r>
      <w:r w:rsidRPr="00842BF2">
        <w:rPr>
          <w:vertAlign w:val="subscript"/>
        </w:rPr>
        <w:t>2</w:t>
      </w:r>
      <w:r w:rsidRPr="00842BF2">
        <w:t xml:space="preserve"> (‘anti</w:t>
      </w:r>
      <w:r w:rsidRPr="00842BF2">
        <w:noBreakHyphen/>
        <w:t>IgM’) during the stimulation step on ice. Briefly, Ramos cells were loaded with anti</w:t>
      </w:r>
      <w:r w:rsidRPr="00842BF2">
        <w:noBreakHyphen/>
        <w:t>IgM on ice, washed and incubated in warm medium for indicated durations until flow cytometric analysis of surface proteins. As controls, cells were left unstimulated (‘ctrl’</w:t>
      </w:r>
      <w:proofErr w:type="gramStart"/>
      <w:r w:rsidRPr="00842BF2">
        <w:t>)</w:t>
      </w:r>
      <w:proofErr w:type="gramEnd"/>
      <w:r w:rsidRPr="00842BF2">
        <w:t xml:space="preserve"> or the treatment solution was supplemented with </w:t>
      </w:r>
      <w:r w:rsidR="00C37CB3">
        <w:t xml:space="preserve">10 mM </w:t>
      </w:r>
      <w:r w:rsidRPr="00842BF2">
        <w:t xml:space="preserve">fucose (‘4 h + </w:t>
      </w:r>
      <w:proofErr w:type="spellStart"/>
      <w:r w:rsidRPr="00842BF2">
        <w:t>fuc</w:t>
      </w:r>
      <w:proofErr w:type="spellEnd"/>
      <w:r w:rsidRPr="00842BF2">
        <w:t xml:space="preserve">’). </w:t>
      </w:r>
      <w:r w:rsidR="008326F0">
        <w:t>Bars are mean fold changes of geometric mean fluorescence intensities (MFI) relative to ‘ctrl’ samples (n = 8). Statistical significance (2</w:t>
      </w:r>
      <w:r w:rsidR="008326F0">
        <w:noBreakHyphen/>
        <w:t xml:space="preserve">way ANOVA with Dunnett’s correction): </w:t>
      </w:r>
      <w:r w:rsidR="008326F0" w:rsidRPr="00CE59BD">
        <w:t xml:space="preserve">ns (p&gt;0.05), </w:t>
      </w:r>
      <w:r w:rsidR="008326F0" w:rsidRPr="00CE59BD">
        <w:rPr>
          <w:rFonts w:ascii="Cambria Math" w:hAnsi="Cambria Math" w:cs="Cambria Math"/>
        </w:rPr>
        <w:t>∗</w:t>
      </w:r>
      <w:r w:rsidR="008326F0" w:rsidRPr="00CE59BD">
        <w:t xml:space="preserve"> (p</w:t>
      </w:r>
      <w:r w:rsidR="008326F0" w:rsidRPr="00CE59BD">
        <w:rPr>
          <w:rFonts w:ascii="Calibri" w:hAnsi="Calibri" w:cs="Calibri"/>
        </w:rPr>
        <w:t>≤</w:t>
      </w:r>
      <w:r w:rsidR="008326F0" w:rsidRPr="00CE59BD">
        <w:t>0.05),</w:t>
      </w:r>
      <w:r w:rsidR="008326F0">
        <w:t xml:space="preserve"> </w:t>
      </w:r>
      <w:r w:rsidR="008326F0" w:rsidRPr="00CE59BD">
        <w:rPr>
          <w:rFonts w:ascii="Cambria Math" w:hAnsi="Cambria Math" w:cs="Cambria Math"/>
        </w:rPr>
        <w:t>∗∗</w:t>
      </w:r>
      <w:r w:rsidR="008326F0" w:rsidRPr="00CE59BD">
        <w:rPr>
          <w:rFonts w:ascii="Calibri" w:hAnsi="Calibri" w:cs="Calibri"/>
        </w:rPr>
        <w:t> </w:t>
      </w:r>
      <w:r w:rsidR="008326F0" w:rsidRPr="00CE59BD">
        <w:t>(p</w:t>
      </w:r>
      <w:r w:rsidR="008326F0" w:rsidRPr="00CE59BD">
        <w:rPr>
          <w:rFonts w:ascii="Calibri" w:hAnsi="Calibri" w:cs="Calibri"/>
        </w:rPr>
        <w:t>≤</w:t>
      </w:r>
      <w:r w:rsidR="008326F0" w:rsidRPr="00CE59BD">
        <w:t xml:space="preserve">0.01), </w:t>
      </w:r>
      <w:r w:rsidR="008326F0" w:rsidRPr="00CE59BD">
        <w:rPr>
          <w:rFonts w:ascii="Cambria Math" w:hAnsi="Cambria Math" w:cs="Cambria Math"/>
        </w:rPr>
        <w:t>∗∗∗</w:t>
      </w:r>
      <w:r w:rsidR="008326F0" w:rsidRPr="00CE59BD">
        <w:t xml:space="preserve"> (p</w:t>
      </w:r>
      <w:r w:rsidR="008326F0" w:rsidRPr="00CE59BD">
        <w:rPr>
          <w:rFonts w:ascii="Calibri" w:hAnsi="Calibri" w:cs="Calibri"/>
        </w:rPr>
        <w:t>≤</w:t>
      </w:r>
      <w:r w:rsidR="008326F0" w:rsidRPr="00CE59BD">
        <w:t>0.001)</w:t>
      </w:r>
      <w:r w:rsidR="008326F0">
        <w:t>,</w:t>
      </w:r>
      <w:r w:rsidR="008326F0" w:rsidRPr="008326F0">
        <w:rPr>
          <w:rFonts w:ascii="Cambria Math" w:hAnsi="Cambria Math" w:cs="Cambria Math"/>
        </w:rPr>
        <w:t xml:space="preserve"> </w:t>
      </w:r>
      <w:r w:rsidR="008326F0" w:rsidRPr="00CE59BD">
        <w:rPr>
          <w:rFonts w:ascii="Cambria Math" w:hAnsi="Cambria Math" w:cs="Cambria Math"/>
        </w:rPr>
        <w:t>∗∗∗∗</w:t>
      </w:r>
      <w:r w:rsidR="008326F0" w:rsidRPr="00CE59BD">
        <w:t xml:space="preserve"> (p</w:t>
      </w:r>
      <w:r w:rsidR="008326F0" w:rsidRPr="00CE59BD">
        <w:rPr>
          <w:rFonts w:ascii="Calibri" w:hAnsi="Calibri" w:cs="Calibri"/>
        </w:rPr>
        <w:t>≤</w:t>
      </w:r>
      <w:r w:rsidR="008326F0" w:rsidRPr="00CE59BD">
        <w:t>0.0001)</w:t>
      </w:r>
      <w:r w:rsidR="008326F0">
        <w:t>.</w:t>
      </w:r>
    </w:p>
    <w:p w14:paraId="2FD682FF" w14:textId="77777777" w:rsidR="00A06429" w:rsidRDefault="00A06429" w:rsidP="00193D4E">
      <w:pPr>
        <w:jc w:val="left"/>
      </w:pPr>
    </w:p>
    <w:p w14:paraId="06FA94C4" w14:textId="69655CB1" w:rsidR="00193D4E" w:rsidRPr="0038461A" w:rsidRDefault="00193D4E">
      <w:pPr>
        <w:jc w:val="left"/>
        <w:rPr>
          <w:rFonts w:eastAsiaTheme="majorEastAsia" w:cstheme="majorBidi"/>
          <w:b/>
          <w:szCs w:val="26"/>
          <w:u w:val="single"/>
        </w:rPr>
      </w:pPr>
      <w:r w:rsidRPr="001148AF">
        <w:rPr>
          <w:b/>
          <w:bCs/>
        </w:rPr>
        <w:br w:type="page"/>
      </w:r>
    </w:p>
    <w:p w14:paraId="312CBDBD" w14:textId="403C0982" w:rsidR="000531DA" w:rsidRPr="000531DA" w:rsidRDefault="000531DA" w:rsidP="000531DA">
      <w:pPr>
        <w:pStyle w:val="NoSpacing"/>
        <w:rPr>
          <w:b/>
          <w:bCs/>
        </w:rPr>
      </w:pPr>
      <w:r w:rsidRPr="000531DA">
        <w:rPr>
          <w:b/>
          <w:bCs/>
        </w:rPr>
        <w:lastRenderedPageBreak/>
        <w:t>Tab. S1 SILAC-MS screen for BambL interaction partners on Ramos cells</w:t>
      </w:r>
      <w:bookmarkEnd w:id="3"/>
      <w:r w:rsidR="00FC6DA5">
        <w:rPr>
          <w:b/>
          <w:bCs/>
        </w:rPr>
        <w:t xml:space="preserve"> (supplement to Fig. 4a)</w:t>
      </w:r>
    </w:p>
    <w:p w14:paraId="38A02B34" w14:textId="5835F00D" w:rsidR="000531DA" w:rsidRPr="000531DA" w:rsidRDefault="000531DA" w:rsidP="000531DA">
      <w:pPr>
        <w:spacing w:after="0" w:line="240" w:lineRule="auto"/>
      </w:pPr>
      <w:r w:rsidRPr="000531DA">
        <w:t>Ranked by mean enrichment by BambL</w:t>
      </w:r>
      <w:r w:rsidRPr="000531DA">
        <w:noBreakHyphen/>
        <w:t xml:space="preserve">biotin (n=2). Top 120 hits with a mean enrichment greater than 4-fold. Selected proteins presented in </w:t>
      </w:r>
      <w:r w:rsidRPr="000531DA">
        <w:rPr>
          <w:b/>
          <w:bCs/>
        </w:rPr>
        <w:t>Fig. 4b</w:t>
      </w:r>
      <w:r w:rsidRPr="000531DA">
        <w:t xml:space="preserve"> are highlighted in gray.</w:t>
      </w:r>
    </w:p>
    <w:tbl>
      <w:tblPr>
        <w:tblW w:w="10235" w:type="dxa"/>
        <w:tblInd w:w="108" w:type="dxa"/>
        <w:tblLook w:val="04A0" w:firstRow="1" w:lastRow="0" w:firstColumn="1" w:lastColumn="0" w:noHBand="0" w:noVBand="1"/>
      </w:tblPr>
      <w:tblGrid>
        <w:gridCol w:w="515"/>
        <w:gridCol w:w="2520"/>
        <w:gridCol w:w="5160"/>
        <w:gridCol w:w="680"/>
        <w:gridCol w:w="680"/>
        <w:gridCol w:w="680"/>
      </w:tblGrid>
      <w:tr w:rsidR="000531DA" w:rsidRPr="000531DA" w14:paraId="696D596F" w14:textId="77777777" w:rsidTr="009D61CE">
        <w:trPr>
          <w:trHeight w:val="290"/>
        </w:trPr>
        <w:tc>
          <w:tcPr>
            <w:tcW w:w="515" w:type="dxa"/>
            <w:vMerge w:val="restart"/>
            <w:tcBorders>
              <w:top w:val="nil"/>
              <w:left w:val="nil"/>
              <w:bottom w:val="single" w:sz="4" w:space="0" w:color="D0CECE"/>
              <w:right w:val="nil"/>
            </w:tcBorders>
            <w:shd w:val="clear" w:color="000000" w:fill="E7E6E6"/>
            <w:noWrap/>
            <w:vAlign w:val="bottom"/>
            <w:hideMark/>
          </w:tcPr>
          <w:p w14:paraId="73A63FE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</w:rPr>
              <w:t>rank</w:t>
            </w:r>
          </w:p>
        </w:tc>
        <w:tc>
          <w:tcPr>
            <w:tcW w:w="2520" w:type="dxa"/>
            <w:vMerge w:val="restart"/>
            <w:tcBorders>
              <w:top w:val="nil"/>
              <w:left w:val="nil"/>
              <w:bottom w:val="single" w:sz="4" w:space="0" w:color="D0CECE"/>
              <w:right w:val="nil"/>
            </w:tcBorders>
            <w:shd w:val="clear" w:color="A5A5A5" w:fill="E7E6E6"/>
            <w:vAlign w:val="bottom"/>
            <w:hideMark/>
          </w:tcPr>
          <w:p w14:paraId="4BEE953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  <w:t>Gene names</w:t>
            </w:r>
          </w:p>
        </w:tc>
        <w:tc>
          <w:tcPr>
            <w:tcW w:w="5160" w:type="dxa"/>
            <w:vMerge w:val="restart"/>
            <w:tcBorders>
              <w:top w:val="nil"/>
              <w:left w:val="nil"/>
              <w:bottom w:val="single" w:sz="4" w:space="0" w:color="D0CECE"/>
              <w:right w:val="nil"/>
            </w:tcBorders>
            <w:shd w:val="clear" w:color="A5A5A5" w:fill="E7E6E6"/>
            <w:vAlign w:val="bottom"/>
            <w:hideMark/>
          </w:tcPr>
          <w:p w14:paraId="1ADEB15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  <w:t>Protein names</w:t>
            </w:r>
          </w:p>
        </w:tc>
        <w:tc>
          <w:tcPr>
            <w:tcW w:w="204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E7E6E6"/>
            <w:noWrap/>
            <w:vAlign w:val="center"/>
            <w:hideMark/>
          </w:tcPr>
          <w:p w14:paraId="6C468BC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  <w:t>enrichment over ctrl (log2)</w:t>
            </w:r>
          </w:p>
        </w:tc>
      </w:tr>
      <w:tr w:rsidR="000531DA" w:rsidRPr="000531DA" w14:paraId="622067D3" w14:textId="77777777" w:rsidTr="009D61CE">
        <w:trPr>
          <w:trHeight w:val="240"/>
        </w:trPr>
        <w:tc>
          <w:tcPr>
            <w:tcW w:w="515" w:type="dxa"/>
            <w:vMerge/>
            <w:tcBorders>
              <w:top w:val="nil"/>
              <w:left w:val="nil"/>
              <w:bottom w:val="single" w:sz="4" w:space="0" w:color="D0CECE"/>
              <w:right w:val="nil"/>
            </w:tcBorders>
            <w:vAlign w:val="center"/>
            <w:hideMark/>
          </w:tcPr>
          <w:p w14:paraId="230CF92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520" w:type="dxa"/>
            <w:vMerge/>
            <w:tcBorders>
              <w:top w:val="nil"/>
              <w:left w:val="nil"/>
              <w:bottom w:val="single" w:sz="4" w:space="0" w:color="D0CECE"/>
              <w:right w:val="nil"/>
            </w:tcBorders>
            <w:vAlign w:val="center"/>
            <w:hideMark/>
          </w:tcPr>
          <w:p w14:paraId="43C004D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</w:pPr>
          </w:p>
        </w:tc>
        <w:tc>
          <w:tcPr>
            <w:tcW w:w="5160" w:type="dxa"/>
            <w:vMerge/>
            <w:tcBorders>
              <w:top w:val="nil"/>
              <w:left w:val="nil"/>
              <w:bottom w:val="single" w:sz="4" w:space="0" w:color="D0CECE"/>
              <w:right w:val="nil"/>
            </w:tcBorders>
            <w:vAlign w:val="center"/>
            <w:hideMark/>
          </w:tcPr>
          <w:p w14:paraId="3887AA7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5A5A5" w:fill="E7E6E6"/>
            <w:vAlign w:val="center"/>
            <w:hideMark/>
          </w:tcPr>
          <w:p w14:paraId="47A36DB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  <w:t>exp 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5A5A5" w:fill="E7E6E6"/>
            <w:vAlign w:val="center"/>
            <w:hideMark/>
          </w:tcPr>
          <w:p w14:paraId="63B4370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  <w:t>exp 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C9C9C9"/>
            </w:tcBorders>
            <w:shd w:val="clear" w:color="A5A5A5" w:fill="E7E6E6"/>
            <w:vAlign w:val="center"/>
            <w:hideMark/>
          </w:tcPr>
          <w:p w14:paraId="13B000E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b/>
                <w:bCs/>
                <w:sz w:val="16"/>
                <w:szCs w:val="16"/>
              </w:rPr>
              <w:t>Mean</w:t>
            </w:r>
          </w:p>
        </w:tc>
      </w:tr>
      <w:tr w:rsidR="000531DA" w:rsidRPr="000531DA" w14:paraId="7FAA1BF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03C00C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8F717E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EVI2B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A5BEC0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Protein EVI2B</w:t>
            </w:r>
          </w:p>
        </w:tc>
        <w:tc>
          <w:tcPr>
            <w:tcW w:w="680" w:type="dxa"/>
            <w:tcBorders>
              <w:top w:val="single" w:sz="4" w:space="0" w:color="D0CECE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37B9C5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6.79</w:t>
            </w:r>
          </w:p>
        </w:tc>
        <w:tc>
          <w:tcPr>
            <w:tcW w:w="680" w:type="dxa"/>
            <w:tcBorders>
              <w:top w:val="single" w:sz="4" w:space="0" w:color="D0CECE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829ABD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8.03</w:t>
            </w:r>
          </w:p>
        </w:tc>
        <w:tc>
          <w:tcPr>
            <w:tcW w:w="680" w:type="dxa"/>
            <w:tcBorders>
              <w:top w:val="single" w:sz="4" w:space="0" w:color="D0CECE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1B2491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7.41</w:t>
            </w:r>
          </w:p>
        </w:tc>
      </w:tr>
      <w:tr w:rsidR="000531DA" w:rsidRPr="000531DA" w14:paraId="27C90A6E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BFED5A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A5821B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SPN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21166F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Leukosialin</w:t>
            </w:r>
            <w:proofErr w:type="spellEnd"/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0A78EC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7.84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71E71D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60137D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7.39</w:t>
            </w:r>
          </w:p>
        </w:tc>
      </w:tr>
      <w:tr w:rsidR="000531DA" w:rsidRPr="000531DA" w14:paraId="76AA724B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6A1DC3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A8A74B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SELPLG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CAD3E1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P-selectin glycoprotein ligand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D32EFF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7.44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62D804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6.19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A9EBC4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6.82</w:t>
            </w:r>
          </w:p>
        </w:tc>
      </w:tr>
      <w:tr w:rsidR="000531DA" w:rsidRPr="000531DA" w14:paraId="09527A83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3EF9A6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A038F0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SLC2A5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592D41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Solute carrier family 2, facilitated glucose transporter member 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CDE3F7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6.48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535369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6.49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57BCC1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6.49</w:t>
            </w:r>
          </w:p>
        </w:tc>
      </w:tr>
      <w:tr w:rsidR="000531DA" w:rsidRPr="000531DA" w14:paraId="4DAFDF7D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3C329E6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7CF297D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ICAM2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01B84AE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Intercellular adhesion molecule 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161E6F7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6.99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28A7D3A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5.98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96F4B7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6.49</w:t>
            </w:r>
          </w:p>
        </w:tc>
      </w:tr>
      <w:tr w:rsidR="000531DA" w:rsidRPr="000531DA" w14:paraId="5DAC807D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F1D998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D977EB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NCSTN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7E55F5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Nicastrin</w:t>
            </w:r>
            <w:proofErr w:type="spellEnd"/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587682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6B4121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5.91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527A9D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6.42</w:t>
            </w:r>
          </w:p>
        </w:tc>
      </w:tr>
      <w:tr w:rsidR="000531DA" w:rsidRPr="000531DA" w14:paraId="4EB784BC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3DCA294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0F9D876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CD22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295FECE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CD22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60114BF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129D077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2D34694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6.40</w:t>
            </w:r>
          </w:p>
        </w:tc>
      </w:tr>
      <w:tr w:rsidR="000531DA" w:rsidRPr="000531DA" w14:paraId="4D03AD1D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716C061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833CDB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PCDH9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666F80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Protocadherin-9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745567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6.74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A13091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6.02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5750ACD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6.38</w:t>
            </w:r>
          </w:p>
        </w:tc>
      </w:tr>
      <w:tr w:rsidR="000531DA" w:rsidRPr="000531DA" w14:paraId="7881804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11518C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164BC6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LNPEP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09C65A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Leucyl-</w:t>
            </w: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cystinyl</w:t>
            </w:r>
            <w:proofErr w:type="spell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 aminopeptidase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AF588C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6.36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88CCF1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6.37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CF2C52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6.37</w:t>
            </w:r>
          </w:p>
        </w:tc>
      </w:tr>
      <w:tr w:rsidR="000531DA" w:rsidRPr="000531DA" w14:paraId="7E8EFA54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1B22A58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10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1B3499B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ICAM3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4BF8BB8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Intercellular adhesion molecule 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203EBB3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21A0843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25FD396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6.33</w:t>
            </w:r>
          </w:p>
        </w:tc>
      </w:tr>
      <w:tr w:rsidR="000531DA" w:rsidRPr="000531DA" w14:paraId="03326B7C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E265C4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0AF020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SLC1A4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4EED35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Neutral amino acid transporter 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92F6F6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6.59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BD27DD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5337C3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6.03</w:t>
            </w:r>
          </w:p>
        </w:tc>
      </w:tr>
      <w:tr w:rsidR="000531DA" w:rsidRPr="000531DA" w14:paraId="65F37C89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0522B6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B588AA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SLC1A5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ECB1C6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Neutral amino acid transporter </w:t>
            </w: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B(</w:t>
            </w:r>
            <w:proofErr w:type="gram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0)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10D740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C2A38C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5.46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AD1995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5.98</w:t>
            </w:r>
          </w:p>
        </w:tc>
      </w:tr>
      <w:tr w:rsidR="000531DA" w:rsidRPr="000531DA" w14:paraId="5F4C4548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48FD71E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13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3E06A3F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INSR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1FCD5C2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Insulin receptor subunit alpha/beta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24541B3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7.01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9A4831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745E41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5.76</w:t>
            </w:r>
          </w:p>
        </w:tc>
      </w:tr>
      <w:tr w:rsidR="000531DA" w:rsidRPr="000531DA" w14:paraId="43FA703A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C0ACFD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5D37E0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SLC2A1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D9600F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Solute carrier family 2, facilitated glucose transporter member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EAF252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6.53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031DA2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38A195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5.69</w:t>
            </w:r>
          </w:p>
        </w:tc>
      </w:tr>
      <w:tr w:rsidR="000531DA" w:rsidRPr="000531DA" w14:paraId="461627E3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79B02A3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15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764FCB2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PCDHGC3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6E31954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Protocadherin gamma-C3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7F386CE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7.60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32B5D47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04A4EC9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5.65</w:t>
            </w:r>
          </w:p>
        </w:tc>
      </w:tr>
      <w:tr w:rsidR="000531DA" w:rsidRPr="000531DA" w14:paraId="59F647AE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B051C0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16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6E1166A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CD79B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2C9CD9C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BCR complex-associated protein beta chain, Ig beta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185BACE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5.94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10047B8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17029AB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5.65</w:t>
            </w:r>
          </w:p>
        </w:tc>
      </w:tr>
      <w:tr w:rsidR="000531DA" w:rsidRPr="000531DA" w14:paraId="1D11935F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828B8F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17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2D4C1AD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CD19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BAE9EC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B-cell antigen CD19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550DBE4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0B49E4B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2CD907E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5.65</w:t>
            </w:r>
          </w:p>
        </w:tc>
      </w:tr>
      <w:tr w:rsidR="000531DA" w:rsidRPr="000531DA" w14:paraId="483BFD35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64F648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ED1422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SORL1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CE480BA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Sortilin</w:t>
            </w:r>
            <w:proofErr w:type="spell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-related receptor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52B4B6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8F823D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4.44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2844AF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5.62</w:t>
            </w:r>
          </w:p>
        </w:tc>
      </w:tr>
      <w:tr w:rsidR="000531DA" w:rsidRPr="000531DA" w14:paraId="1C33BFDB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06DA52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966C82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ATP1A1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7185B7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Sodium/potassium-transporting ATPase subunit alpha-1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C7A27B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5.46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55293D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5.54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BFF4CD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5.50</w:t>
            </w:r>
          </w:p>
        </w:tc>
      </w:tr>
      <w:tr w:rsidR="000531DA" w:rsidRPr="000531DA" w14:paraId="6B7D90E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853EFA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71EA5C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SLC12A2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DC991C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Solute carrier family </w:t>
            </w: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12 member</w:t>
            </w:r>
            <w:proofErr w:type="gram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 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8EAC07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0E62CA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5.54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94D09C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5.48</w:t>
            </w:r>
          </w:p>
        </w:tc>
      </w:tr>
      <w:tr w:rsidR="000531DA" w:rsidRPr="000531DA" w14:paraId="728AB978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B2BE34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DBBD99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SLC7A5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A98314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Large neutral amino acids transporter small subunit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BA84C1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27BBE2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03B006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5.42</w:t>
            </w:r>
          </w:p>
        </w:tc>
      </w:tr>
      <w:tr w:rsidR="000531DA" w:rsidRPr="000531DA" w14:paraId="588FBF5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EFA12D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AB115F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CD48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6A4CBD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CD48 antigen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B2C136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4F02CC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7.17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CF2C58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5.33</w:t>
            </w:r>
          </w:p>
        </w:tc>
      </w:tr>
      <w:tr w:rsidR="000531DA" w:rsidRPr="000531DA" w14:paraId="3095128F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DABCEB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325E3B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SLC3A2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F9F091A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4F2 cell-surface antigen heavy chain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32D07C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191501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EBB400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5.33</w:t>
            </w:r>
          </w:p>
        </w:tc>
      </w:tr>
      <w:tr w:rsidR="000531DA" w:rsidRPr="000531DA" w14:paraId="315786DA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1F5C31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C4A9D6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GOLIM4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58553E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Golgi integral membrane protein 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6F0BCC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C87F64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7004B5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5.25</w:t>
            </w:r>
          </w:p>
        </w:tc>
      </w:tr>
      <w:tr w:rsidR="000531DA" w:rsidRPr="000531DA" w14:paraId="2AC453B8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05DD13C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25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0D4D07E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HLA-DRB1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F33C78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HLA class II histocompatibility antigen, DRB1-7/9 beta chains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607A9E3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5B14C72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5.31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729D45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5.24</w:t>
            </w:r>
          </w:p>
        </w:tc>
      </w:tr>
      <w:tr w:rsidR="000531DA" w:rsidRPr="000531DA" w14:paraId="7AE969A3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8CC773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706236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SLC4A2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18885D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Anion exchange protein 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D82C8F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4.96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D64995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5.48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75BE19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5.22</w:t>
            </w:r>
          </w:p>
        </w:tc>
      </w:tr>
      <w:tr w:rsidR="000531DA" w:rsidRPr="000531DA" w14:paraId="3EF32616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67869CF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27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3241324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HLA-DRA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0A33D47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HLA class II histocompatibility antigen, DR alpha chain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016ADC4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7B91841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1884EFE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5.11</w:t>
            </w:r>
          </w:p>
        </w:tc>
      </w:tr>
      <w:tr w:rsidR="000531DA" w:rsidRPr="000531DA" w14:paraId="14DFBFC2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108FF4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136D04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SDF4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EE0896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45 </w:t>
            </w: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kDa</w:t>
            </w:r>
            <w:proofErr w:type="spell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 calcium-binding protein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70355C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4.88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5FECA0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A9A19E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5.08</w:t>
            </w:r>
          </w:p>
        </w:tc>
      </w:tr>
      <w:tr w:rsidR="000531DA" w:rsidRPr="000531DA" w14:paraId="174379B6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66CC21F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29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4040965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HLA-DRB4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08D460A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HLA class II histocompatibility antigen, DR beta 4 chain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568B858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18DAC9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7322C09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5.02</w:t>
            </w:r>
          </w:p>
        </w:tc>
      </w:tr>
      <w:tr w:rsidR="000531DA" w:rsidRPr="000531DA" w14:paraId="73100056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12A1039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4612EAA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HLA-DPB1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EC1EB9A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HLA class II histocompatibility antigen, DP beta 1 chain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50785D5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4.76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34A1D01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3EB9A58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4.99</w:t>
            </w:r>
          </w:p>
        </w:tc>
      </w:tr>
      <w:tr w:rsidR="000531DA" w:rsidRPr="000531DA" w14:paraId="3327CAC9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7E9CA5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F04696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SLAMF6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74CBA0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SLAM family member 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588C90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B95C7E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4.90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C2283D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4.88</w:t>
            </w:r>
          </w:p>
        </w:tc>
      </w:tr>
      <w:tr w:rsidR="000531DA" w:rsidRPr="000531DA" w14:paraId="5367BE09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189B3D0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16816F1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PTPRC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7E8EAF1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Receptor-type tyrosine-protein phosphatase C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2E1313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5.88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54292B9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A7A5DA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4.87</w:t>
            </w:r>
          </w:p>
        </w:tc>
      </w:tr>
      <w:tr w:rsidR="000531DA" w:rsidRPr="000531DA" w14:paraId="18874801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DF24E7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3B8F3F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SLC4A7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974F2B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Sodium bicarbonate cotransporter 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68F82F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A9EF6B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F6BE04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4.85</w:t>
            </w:r>
          </w:p>
        </w:tc>
      </w:tr>
      <w:tr w:rsidR="000531DA" w:rsidRPr="000531DA" w14:paraId="7A5BEA9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8E203F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1BDE32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SLC29A1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CC04E9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Equilibrative</w:t>
            </w:r>
            <w:proofErr w:type="spell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 nucleoside transporter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895027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5.49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78CDE8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4.06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242DE6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4.77</w:t>
            </w:r>
          </w:p>
        </w:tc>
      </w:tr>
      <w:tr w:rsidR="000531DA" w:rsidRPr="000531DA" w14:paraId="119ABBE9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34296E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CA376F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CHP1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6183FF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Calcineurin B homologous 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B5ADD3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4.69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7E4814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4.77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4418BB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4.73</w:t>
            </w:r>
          </w:p>
        </w:tc>
      </w:tr>
      <w:tr w:rsidR="000531DA" w:rsidRPr="000531DA" w14:paraId="0060DC1E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827A2F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3A50A2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SIT1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D84057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Signaling threshold-regulating transmembrane adapter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CD1702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9C8798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5.59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AEB4FC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4.73</w:t>
            </w:r>
          </w:p>
        </w:tc>
      </w:tr>
      <w:tr w:rsidR="000531DA" w:rsidRPr="000531DA" w14:paraId="2CF7B3C8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1EE9154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6EE34A3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CD97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20A247D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CD97 antigen subunit alpha/beta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0CABD21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6.80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36A85A6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2.63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73A21B2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4.72</w:t>
            </w:r>
          </w:p>
        </w:tc>
      </w:tr>
      <w:tr w:rsidR="000531DA" w:rsidRPr="000531DA" w14:paraId="746B3C3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5B8BD9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B4F5EE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BST2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EF9354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Bone marrow stromal antigen 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97D27A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167031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4.74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7EF5A6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4.62</w:t>
            </w:r>
          </w:p>
        </w:tc>
      </w:tr>
      <w:tr w:rsidR="000531DA" w:rsidRPr="000531DA" w14:paraId="3E30ADE8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0F0EE6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45F7C88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ITGB1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4DD3CED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 xml:space="preserve">Integrin </w:t>
            </w:r>
            <w:proofErr w:type="gramStart"/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beta-1</w:t>
            </w:r>
            <w:proofErr w:type="gramEnd"/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51B2B6A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501595A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671C27D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4.59</w:t>
            </w:r>
          </w:p>
        </w:tc>
      </w:tr>
      <w:tr w:rsidR="000531DA" w:rsidRPr="000531DA" w14:paraId="270B8C42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C8C787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3F66F9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TMEM30A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024694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Cell cycle control protein 50A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FE66AD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6.06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59E2CA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023C36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4.56</w:t>
            </w:r>
          </w:p>
        </w:tc>
      </w:tr>
      <w:tr w:rsidR="000531DA" w:rsidRPr="000531DA" w14:paraId="0F3EB216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01107D3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709FA9F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FAS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38499CB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Tumor necrosis factor receptor superfamily member 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7B0EE2D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4.84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0521265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3.97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63C81E4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4.41</w:t>
            </w:r>
          </w:p>
        </w:tc>
      </w:tr>
      <w:tr w:rsidR="000531DA" w:rsidRPr="000531DA" w14:paraId="1AE9923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342A81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F38749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ATP1A</w:t>
            </w: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3;ATP</w:t>
            </w:r>
            <w:proofErr w:type="gram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1A2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3DDC21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Sodium/potassium-transporting ATPase subunits alpha-2/3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D6AA74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4.44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FA0CD0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6E644C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4.32</w:t>
            </w:r>
          </w:p>
        </w:tc>
      </w:tr>
      <w:tr w:rsidR="000531DA" w:rsidRPr="000531DA" w14:paraId="73A6C6D3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D99F3A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624708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ABCC4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EFDF3B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Multidrug resistance-associated protein 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F7B72F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4.19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DF581F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E8872B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4.30</w:t>
            </w:r>
          </w:p>
        </w:tc>
      </w:tr>
      <w:tr w:rsidR="000531DA" w:rsidRPr="000531DA" w14:paraId="65F0F849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60268AC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41A602E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ITGA4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18CB1EC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 xml:space="preserve">Integrin </w:t>
            </w:r>
            <w:proofErr w:type="gramStart"/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alpha-4</w:t>
            </w:r>
            <w:proofErr w:type="gramEnd"/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367B81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4.62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7D0E2C5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23C8B5B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4.24</w:t>
            </w:r>
          </w:p>
        </w:tc>
      </w:tr>
      <w:tr w:rsidR="000531DA" w:rsidRPr="000531DA" w14:paraId="08D52D9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872068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97216A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IL4R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8DAFC4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Interleukin-4 receptor subunit alpha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40DD95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257770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07E502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4.23</w:t>
            </w:r>
          </w:p>
        </w:tc>
      </w:tr>
      <w:tr w:rsidR="000531DA" w:rsidRPr="000531DA" w14:paraId="4E38F282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542389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881FC8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M6PR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DC2302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Cation-dependent mannose-6-phosphate receptor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DBDD88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727976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5.79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4E8B37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4.21</w:t>
            </w:r>
          </w:p>
        </w:tc>
      </w:tr>
      <w:tr w:rsidR="000531DA" w:rsidRPr="000531DA" w14:paraId="3FAB80F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9BC33C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41A346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SYPL1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C5828C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Synaptophysin-like 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D22503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4.59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86B03C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C7BAD1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4.20</w:t>
            </w:r>
          </w:p>
        </w:tc>
      </w:tr>
      <w:tr w:rsidR="000531DA" w:rsidRPr="000531DA" w14:paraId="17510111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317EDC5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6AD6FAC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CD53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460491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Leukocyte surface antigen CD53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0CE1B1A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96A396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5.22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0B27F79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4.19</w:t>
            </w:r>
          </w:p>
        </w:tc>
      </w:tr>
      <w:tr w:rsidR="000531DA" w:rsidRPr="000531DA" w14:paraId="440934BF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9A2B40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1E15BF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BSG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D92E4E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Basigin</w:t>
            </w:r>
            <w:proofErr w:type="spellEnd"/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763822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F83DF2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4.57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1152A6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4.10</w:t>
            </w:r>
          </w:p>
        </w:tc>
      </w:tr>
      <w:tr w:rsidR="000531DA" w:rsidRPr="000531DA" w14:paraId="011EE7E2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039501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1C3426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CD38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AD62E8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ADP-ribosyl cyclase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5C48A3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FF8877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C721F1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4.10</w:t>
            </w:r>
          </w:p>
        </w:tc>
      </w:tr>
      <w:tr w:rsidR="000531DA" w:rsidRPr="000531DA" w14:paraId="4C5F9CAA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9B283A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0703F4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ATP1B3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D388E4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Sodium/potassium-transporting ATPase subunit beta-3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DB7F9D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5F7723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4.52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0E6412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4.09</w:t>
            </w:r>
          </w:p>
        </w:tc>
      </w:tr>
      <w:tr w:rsidR="000531DA" w:rsidRPr="000531DA" w14:paraId="32B93126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B09F18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782FA9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MILR1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6D36D9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Allergin-1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81EDB7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5.06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2D6603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536CF3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4.02</w:t>
            </w:r>
          </w:p>
        </w:tc>
      </w:tr>
      <w:tr w:rsidR="000531DA" w:rsidRPr="000531DA" w14:paraId="2DA5F625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59F5E6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DF5D9A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LAMP1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BABD10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Lysosome-associated membrane glycoprotein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97DFE7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196D7E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2.06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2E5316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3.99</w:t>
            </w:r>
          </w:p>
        </w:tc>
      </w:tr>
      <w:tr w:rsidR="000531DA" w:rsidRPr="000531DA" w14:paraId="2AF1F155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2E0B13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0FBC90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LDLR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65AD10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Low-density lipoprotein receptor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512C79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C7F22C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466E87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3.96</w:t>
            </w:r>
          </w:p>
        </w:tc>
      </w:tr>
      <w:tr w:rsidR="000531DA" w:rsidRPr="000531DA" w14:paraId="728BDB33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EC40F5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28D3EB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HYOU1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FAAEE1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Hypoxia-upregulated 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B7C770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0EFAB8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5950FC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3.85</w:t>
            </w:r>
          </w:p>
        </w:tc>
      </w:tr>
      <w:tr w:rsidR="000531DA" w:rsidRPr="000531DA" w14:paraId="6EC2889D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A65287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5CF321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TGOLN2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8C10E0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Trans-Golgi network integral membrane protein 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144A19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0F8501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12620B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3.76</w:t>
            </w:r>
          </w:p>
        </w:tc>
      </w:tr>
      <w:tr w:rsidR="000531DA" w:rsidRPr="000531DA" w14:paraId="2E2517FB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7FFD15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C0EDC6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ABCC1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12B626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Multidrug resistance-associated 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86A8F0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4.37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AFE3E0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69DC89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3.70</w:t>
            </w:r>
          </w:p>
        </w:tc>
      </w:tr>
      <w:tr w:rsidR="000531DA" w:rsidRPr="000531DA" w14:paraId="05EF5C02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015CAD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F130E4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GLG1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9172C1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Golgi apparatus 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902F24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5.38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1146C2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1.97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786B58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3.68</w:t>
            </w:r>
          </w:p>
        </w:tc>
      </w:tr>
      <w:tr w:rsidR="000531DA" w:rsidRPr="000531DA" w14:paraId="00385375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AA9695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lastRenderedPageBreak/>
              <w:t>59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03B9D7A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SLC7A1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A152DD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High affinity cationic amino acid transporter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98D10E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3CE992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7D562B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3.64</w:t>
            </w:r>
          </w:p>
        </w:tc>
      </w:tr>
      <w:tr w:rsidR="000531DA" w:rsidRPr="000531DA" w14:paraId="2CC9BBB5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BE66E9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22D94D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SLC25A3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9B2BE6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Phosphate carrier protein, mitochondrial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93E5D2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8877A8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074681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3.60</w:t>
            </w:r>
          </w:p>
        </w:tc>
      </w:tr>
      <w:tr w:rsidR="000531DA" w:rsidRPr="000531DA" w14:paraId="74DF81C1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232CC9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61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01DED14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SLC25A3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C0EB11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Intercellular adhesion molecule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3AAD5AB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277ECDC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6A9A30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3.57</w:t>
            </w:r>
          </w:p>
        </w:tc>
      </w:tr>
      <w:tr w:rsidR="000531DA" w:rsidRPr="000531DA" w14:paraId="46A1DDCF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D81B6E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451D9F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ALCAM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324893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CD166 antigen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BB1CA3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EA69C4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8C55D8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3.45</w:t>
            </w:r>
          </w:p>
        </w:tc>
      </w:tr>
      <w:tr w:rsidR="000531DA" w:rsidRPr="000531DA" w14:paraId="66C9F25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AC7190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318F32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F35A49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7F82B3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3.72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69FC31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A0B18F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3.43</w:t>
            </w:r>
          </w:p>
        </w:tc>
      </w:tr>
      <w:tr w:rsidR="000531DA" w:rsidRPr="000531DA" w14:paraId="2D10968E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C62739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7F9DB2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RPL9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759128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60S ribosomal protein L9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F298B9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7DC9D3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588D2E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3.43</w:t>
            </w:r>
          </w:p>
        </w:tc>
      </w:tr>
      <w:tr w:rsidR="000531DA" w:rsidRPr="000531DA" w14:paraId="188D254E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06C91D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024A1A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EMB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85B545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Embigin</w:t>
            </w:r>
            <w:proofErr w:type="spellEnd"/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2BEABE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4.81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7D575C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1.99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3149B0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3.40</w:t>
            </w:r>
          </w:p>
        </w:tc>
      </w:tr>
      <w:tr w:rsidR="000531DA" w:rsidRPr="000531DA" w14:paraId="659B8797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9DCE42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A2A46B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ATP5L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2E7FFD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ATP synthase subunit g, mitochondrial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94EFD1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6509D0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DA59D9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3.35</w:t>
            </w:r>
          </w:p>
        </w:tc>
      </w:tr>
      <w:tr w:rsidR="000531DA" w:rsidRPr="000531DA" w14:paraId="478AC8C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AAD8E9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F44DFF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050289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E33303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CCD2FE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6B48CD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3.35</w:t>
            </w:r>
          </w:p>
        </w:tc>
      </w:tr>
      <w:tr w:rsidR="000531DA" w:rsidRPr="000531DA" w14:paraId="6E7B062D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24448A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0A37BB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ANKRD13A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ACE07E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Ankyrin repeat domain-containing protein 13A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D11FC6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60C54A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21804C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3.32</w:t>
            </w:r>
          </w:p>
        </w:tc>
      </w:tr>
      <w:tr w:rsidR="000531DA" w:rsidRPr="000531DA" w14:paraId="2EDCA3DC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0A8D0A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75A760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B2M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46DF98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Beta-2-microglobulin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A0B7ED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60D2E0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2AAD5E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3.32</w:t>
            </w:r>
          </w:p>
        </w:tc>
      </w:tr>
      <w:tr w:rsidR="000531DA" w:rsidRPr="000531DA" w14:paraId="38FD598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186F77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1CFF06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GNPTAB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145D83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N-acetylglucosamine-1-phosphotransferase subunits alpha/beta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F85609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2.71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AD694B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3.89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514C60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3.30</w:t>
            </w:r>
          </w:p>
        </w:tc>
      </w:tr>
      <w:tr w:rsidR="000531DA" w:rsidRPr="000531DA" w14:paraId="5CF5CDDC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A5F597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6F72B0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TMEM179B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3398ED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Transmembrane protein 179B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22ABBC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C71C48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38DAB6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3.30</w:t>
            </w:r>
          </w:p>
        </w:tc>
      </w:tr>
      <w:tr w:rsidR="000531DA" w:rsidRPr="000531DA" w14:paraId="7F460C8B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CE74E4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0B3066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RPL</w:t>
            </w: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10;RPL</w:t>
            </w:r>
            <w:proofErr w:type="gram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10L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F0AA7D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60S ribosomal protein L10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6D5C2F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1A4573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2.74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8B3A82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3.18</w:t>
            </w:r>
          </w:p>
        </w:tc>
      </w:tr>
      <w:tr w:rsidR="000531DA" w:rsidRPr="000531DA" w14:paraId="72C9937D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D5C3BC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66E81A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PTPRA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870081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Receptor-type tyrosine-protein phosphatase alpha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CF3CEF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058E8A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DE2043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3.13</w:t>
            </w:r>
          </w:p>
        </w:tc>
      </w:tr>
      <w:tr w:rsidR="000531DA" w:rsidRPr="000531DA" w14:paraId="4769BB0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A2C21D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A1BF41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VAMP8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D6F601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Vesicle-associated membrane protein 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4C6D88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B6DA26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7FB86A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3.12</w:t>
            </w:r>
          </w:p>
        </w:tc>
      </w:tr>
      <w:tr w:rsidR="000531DA" w:rsidRPr="000531DA" w14:paraId="05F23866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E38561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24B1E0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RPS11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6CAAC9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S11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84BAE0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A5F99C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2.46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09B6EB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3.10</w:t>
            </w:r>
          </w:p>
        </w:tc>
      </w:tr>
      <w:tr w:rsidR="000531DA" w:rsidRPr="000531DA" w14:paraId="0E1A0FC3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386A481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76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605C8C8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CD22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5988A9C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B-cell receptor CD22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6AE7209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3FDA627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2.80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3800B48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3.06</w:t>
            </w:r>
          </w:p>
        </w:tc>
      </w:tr>
      <w:tr w:rsidR="000531DA" w:rsidRPr="000531DA" w14:paraId="718122D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8DB5D3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293FBB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ATP5C1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22C9B8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ATP synthase subunit gamma, mitochondrial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4579A8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FCF287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9515D9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3.04</w:t>
            </w:r>
          </w:p>
        </w:tc>
      </w:tr>
      <w:tr w:rsidR="000531DA" w:rsidRPr="000531DA" w14:paraId="3D83BC76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222143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06DEC0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PPT1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40499E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Palmitoyl-protein </w:t>
            </w: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thioesterase</w:t>
            </w:r>
            <w:proofErr w:type="spell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F91A0F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0D9005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3.61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FEEF6E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3.04</w:t>
            </w:r>
          </w:p>
        </w:tc>
      </w:tr>
      <w:tr w:rsidR="000531DA" w:rsidRPr="000531DA" w14:paraId="6CD9111C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1E1D71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79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005F14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TFRC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F066C7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Transferrin receptor 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47CE8A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6F52D9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6E2260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3.02</w:t>
            </w:r>
          </w:p>
        </w:tc>
      </w:tr>
      <w:tr w:rsidR="000531DA" w:rsidRPr="000531DA" w14:paraId="3B6F9AE9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E725F1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4B6382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SCARB1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D94878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Scavenger receptor class B member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621418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4.56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4DCBEC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1.48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3908C9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3.02</w:t>
            </w:r>
          </w:p>
        </w:tc>
      </w:tr>
      <w:tr w:rsidR="000531DA" w:rsidRPr="000531DA" w14:paraId="57B4E625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396ACB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66DD58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LRRC8D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EA59A7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Leucine-rich repeat-containing protein 8D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222F1A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19DCFF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E3FFC0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3.02</w:t>
            </w:r>
          </w:p>
        </w:tc>
      </w:tr>
      <w:tr w:rsidR="000531DA" w:rsidRPr="000531DA" w14:paraId="1FA482A5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1EE037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307C6E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SLC38A5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C6610CA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Sodium-coupled neutral amino acid transporter 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29EE7C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52F9C2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E87827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2.97</w:t>
            </w:r>
          </w:p>
        </w:tc>
      </w:tr>
      <w:tr w:rsidR="000531DA" w:rsidRPr="000531DA" w14:paraId="70AF77FF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534BA0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2D0657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RPS7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FD193C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61ECAF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65DAD9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2D857D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2.93</w:t>
            </w:r>
          </w:p>
        </w:tc>
      </w:tr>
      <w:tr w:rsidR="000531DA" w:rsidRPr="000531DA" w14:paraId="160E9BEE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69B733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49ED48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TMX1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C4BFB9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Thioredoxin-related transmembrane 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9FF7A5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905351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7D1C8B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2.92</w:t>
            </w:r>
          </w:p>
        </w:tc>
      </w:tr>
      <w:tr w:rsidR="000531DA" w:rsidRPr="000531DA" w14:paraId="20CC6F2B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980C5D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C3199E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MAN2B1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5EAD90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Lysosomal alpha-mannosidase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D941FA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6903D0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6817E0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2.91</w:t>
            </w:r>
          </w:p>
        </w:tc>
      </w:tr>
      <w:tr w:rsidR="000531DA" w:rsidRPr="000531DA" w14:paraId="09E5B146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DD186E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A324F2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HLA-A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71333D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HLA class I histocompatibility antigen, A alpha chains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6B9243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7AFFD2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5903FA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2.90</w:t>
            </w:r>
          </w:p>
        </w:tc>
      </w:tr>
      <w:tr w:rsidR="000531DA" w:rsidRPr="000531DA" w14:paraId="4F171283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BCE7D3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BA7201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RPS15A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587F703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S15a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C1C1F4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DE9DEC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2.53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0148AA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2.89</w:t>
            </w:r>
          </w:p>
        </w:tc>
      </w:tr>
      <w:tr w:rsidR="000531DA" w:rsidRPr="000531DA" w14:paraId="2D8DEF5F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32E052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7879F2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TMEM106B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8F15EA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Transmembrane protein 106B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ECA05F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752A20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81EB83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2.84</w:t>
            </w:r>
          </w:p>
        </w:tc>
      </w:tr>
      <w:tr w:rsidR="000531DA" w:rsidRPr="000531DA" w14:paraId="2C389A18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924DDB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89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65B676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RPS9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B9B197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82D8AE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637A0F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F2792D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2.82</w:t>
            </w:r>
          </w:p>
        </w:tc>
      </w:tr>
      <w:tr w:rsidR="000531DA" w:rsidRPr="000531DA" w14:paraId="2A4B0AD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27C64D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936131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RPL11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A87BBB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60S ribosomal protein L11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4392B3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3.24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03B4DE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2.38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E291D0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2.81</w:t>
            </w:r>
          </w:p>
        </w:tc>
      </w:tr>
      <w:tr w:rsidR="000531DA" w:rsidRPr="000531DA" w14:paraId="00530FB8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BEB41D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B49418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</w:t>
            </w: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27;RPS</w:t>
            </w:r>
            <w:proofErr w:type="gram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27L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4648867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FD1AA8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9874E4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6D3398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2.81</w:t>
            </w:r>
          </w:p>
        </w:tc>
      </w:tr>
      <w:tr w:rsidR="000531DA" w:rsidRPr="000531DA" w14:paraId="2CE56C56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D8EBC3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7D86B6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RPL28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49DC85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60S ribosomal protein L28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41C515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D68F08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DE09C9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2.80</w:t>
            </w:r>
          </w:p>
        </w:tc>
      </w:tr>
      <w:tr w:rsidR="000531DA" w:rsidRPr="000531DA" w14:paraId="121CBBEB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879DA5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5BAE15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RPS3A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D63083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S3a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B3E0DF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6AA0E6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2.38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4F83BD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2.74</w:t>
            </w:r>
          </w:p>
        </w:tc>
      </w:tr>
      <w:tr w:rsidR="000531DA" w:rsidRPr="000531DA" w14:paraId="1E4209BE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361CFC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A6DFCD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RPL19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8895FE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Ribosomal protein L19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93109A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94CBC6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FE4F96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2.73</w:t>
            </w:r>
          </w:p>
        </w:tc>
      </w:tr>
      <w:tr w:rsidR="000531DA" w:rsidRPr="000531DA" w14:paraId="29DA7AA1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67C7F8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13494F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UBB;RPS</w:t>
            </w:r>
            <w:proofErr w:type="gram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27A;UBC;UBA52;UBBP4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94483E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Ubiquitin-60S ribosomal protein L40 and 40S S27a, Polyubiquitin-B/C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486090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514CA3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99DE80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2.67</w:t>
            </w:r>
          </w:p>
        </w:tc>
      </w:tr>
      <w:tr w:rsidR="000531DA" w:rsidRPr="000531DA" w14:paraId="6755BEEB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D9F4D8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36E021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RPS16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E541D1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BEC5C7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5A4E12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15F7D4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2.65</w:t>
            </w:r>
          </w:p>
        </w:tc>
      </w:tr>
      <w:tr w:rsidR="000531DA" w:rsidRPr="000531DA" w14:paraId="32B4157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F8A2B1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2A3020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CD74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291414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HLA class II histocompatibility antigen gamma chain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982E56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2.04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DA6EC9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7CE5C3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2.65</w:t>
            </w:r>
          </w:p>
        </w:tc>
      </w:tr>
      <w:tr w:rsidR="000531DA" w:rsidRPr="000531DA" w14:paraId="5D3ACFE6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1A7BF7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B68CDC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CD84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EAC640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SLAM family member 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686349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59D3D3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C42E43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2.64</w:t>
            </w:r>
          </w:p>
        </w:tc>
      </w:tr>
      <w:tr w:rsidR="000531DA" w:rsidRPr="000531DA" w14:paraId="6BF21D95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4469F5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99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45CB9C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RPL23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450F9D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60S ribosomal protein L23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18C829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679E4F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D52C8E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2.60</w:t>
            </w:r>
          </w:p>
        </w:tc>
      </w:tr>
      <w:tr w:rsidR="000531DA" w:rsidRPr="000531DA" w14:paraId="1D62D2C5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265CB0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62B772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ADAM17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C88082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Disintegrin</w:t>
            </w:r>
            <w:proofErr w:type="spell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 and metalloproteinase domain-containing protein 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9ADEEA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0AA3E4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E235AE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2.57</w:t>
            </w:r>
          </w:p>
        </w:tc>
      </w:tr>
      <w:tr w:rsidR="000531DA" w:rsidRPr="000531DA" w14:paraId="5770F6B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33C7F4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2EC552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SLC25A</w:t>
            </w: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6;SLC</w:t>
            </w:r>
            <w:proofErr w:type="gram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25A4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F8AE0FA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ADP/ATP translocases 1/3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DE5B8C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0ED872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2.09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36792A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2.50</w:t>
            </w:r>
          </w:p>
        </w:tc>
      </w:tr>
      <w:tr w:rsidR="000531DA" w:rsidRPr="000531DA" w14:paraId="15ACEE2F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3B4B3B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65FAEB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CDK1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FBEEC5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Cyclin-dependent kinase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A7D861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C8F15E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846F83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2.46</w:t>
            </w:r>
          </w:p>
        </w:tc>
      </w:tr>
      <w:tr w:rsidR="000531DA" w:rsidRPr="000531DA" w14:paraId="44432EFE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263A4E4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103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25D8CA8A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IGHM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08DEC91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Ig mu heavy chain C region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65D4DFE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2.10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329E806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2.81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05AFCC7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2.45</w:t>
            </w:r>
          </w:p>
        </w:tc>
      </w:tr>
      <w:tr w:rsidR="000531DA" w:rsidRPr="000531DA" w14:paraId="099E5D1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06EB09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179ADC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SLC25A5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40BAC9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ADP/ATP translocase 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EE8F0C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969C68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9F2FB4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2.42</w:t>
            </w:r>
          </w:p>
        </w:tc>
      </w:tr>
      <w:tr w:rsidR="000531DA" w:rsidRPr="000531DA" w14:paraId="7B32F86E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B64DDD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7A06A30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EHD1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016736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EH domain-containing 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856FB1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2.53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BEB305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8AA600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2.41</w:t>
            </w:r>
          </w:p>
        </w:tc>
      </w:tr>
      <w:tr w:rsidR="000531DA" w:rsidRPr="000531DA" w14:paraId="77AA2721" w14:textId="77777777" w:rsidTr="009D61CE">
        <w:trPr>
          <w:trHeight w:val="21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6D7198E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106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3A02F8E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LGALS9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bottom"/>
            <w:hideMark/>
          </w:tcPr>
          <w:p w14:paraId="1F14B2C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Galectin-9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781B60D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3.04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4D5F358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1.73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000000" w:fill="E7E6E6"/>
            <w:noWrap/>
            <w:vAlign w:val="center"/>
            <w:hideMark/>
          </w:tcPr>
          <w:p w14:paraId="58956E02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sz w:val="16"/>
                <w:szCs w:val="16"/>
              </w:rPr>
              <w:t>2.39</w:t>
            </w:r>
          </w:p>
        </w:tc>
      </w:tr>
      <w:tr w:rsidR="000531DA" w:rsidRPr="000531DA" w14:paraId="4B3DC55D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5AC061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3735A6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RPL13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B5F1EE5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60S ribosomal protein L13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B3100F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2.48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2000D4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7094F8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2.38</w:t>
            </w:r>
          </w:p>
        </w:tc>
      </w:tr>
      <w:tr w:rsidR="000531DA" w:rsidRPr="000531DA" w14:paraId="56C177CD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BC9654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83EAB6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SLC44A2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74390F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Choline transporter-like protein 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61D7D8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2.54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46521B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6CB77D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2.35</w:t>
            </w:r>
          </w:p>
        </w:tc>
      </w:tr>
      <w:tr w:rsidR="000531DA" w:rsidRPr="000531DA" w14:paraId="10908B47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71DE79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109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14B3A58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NAMPT;NAMPTL</w:t>
            </w:r>
            <w:proofErr w:type="gramEnd"/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E0A004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Nicotinamide </w:t>
            </w: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phosphoribosyltransferase</w:t>
            </w:r>
            <w:proofErr w:type="spellEnd"/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0BAB55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2.54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5CB678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74F843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2.34</w:t>
            </w:r>
          </w:p>
        </w:tc>
      </w:tr>
      <w:tr w:rsidR="000531DA" w:rsidRPr="000531DA" w14:paraId="738EF1D4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43BCCF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53376C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EIF4A3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2606F9C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Eukaryotic initiation factor 4A-III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8A679C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59BAE4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079967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2.29</w:t>
            </w:r>
          </w:p>
        </w:tc>
      </w:tr>
      <w:tr w:rsidR="000531DA" w:rsidRPr="000531DA" w14:paraId="0494A7D9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DE0499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0746EE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RPS14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DCEE16A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40S ribosomal protein S14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4AA8F6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E4B370F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68C047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2.28</w:t>
            </w:r>
          </w:p>
        </w:tc>
      </w:tr>
      <w:tr w:rsidR="000531DA" w:rsidRPr="000531DA" w14:paraId="6C704F6F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5F7D60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FDB564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SNAP23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C89224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Synaptosomal</w:t>
            </w:r>
            <w:proofErr w:type="spell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-associated protein 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3F3F04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2.58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054C2E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1.94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EC526D9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2.26</w:t>
            </w:r>
          </w:p>
        </w:tc>
      </w:tr>
      <w:tr w:rsidR="000531DA" w:rsidRPr="000531DA" w14:paraId="0ED15AF9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BA4583A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AD9692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RAN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1A322CE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GTP-binding nuclear protein Ran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A7B106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2.58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E320C6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1.90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11286F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2.24</w:t>
            </w:r>
          </w:p>
        </w:tc>
      </w:tr>
      <w:tr w:rsidR="000531DA" w:rsidRPr="000531DA" w14:paraId="309B699C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09BCBB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3E3DDD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ATP5A1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7C336B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ATP synthase subunit alpha, mitochondrial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716AC4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BDBD03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ACEF50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2.23</w:t>
            </w:r>
          </w:p>
        </w:tc>
      </w:tr>
      <w:tr w:rsidR="000531DA" w:rsidRPr="000531DA" w14:paraId="0DC1AC90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52F4B8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27078C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MPZL1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FD6D0E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de-DE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  <w:lang w:val="de-DE"/>
              </w:rPr>
              <w:t xml:space="preserve">Myelin </w:t>
            </w: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  <w:lang w:val="de-DE"/>
              </w:rPr>
              <w:t>protein</w:t>
            </w:r>
            <w:proofErr w:type="spell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  <w:lang w:val="de-DE"/>
              </w:rPr>
              <w:t xml:space="preserve"> zero-like </w:t>
            </w:r>
            <w:proofErr w:type="spell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  <w:lang w:val="de-DE"/>
              </w:rPr>
              <w:t>protein</w:t>
            </w:r>
            <w:proofErr w:type="spell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  <w:lang w:val="de-DE"/>
              </w:rPr>
              <w:t xml:space="preserve">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F19CB0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0.99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4B8E5E3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3.41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2FC0AD3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2.20</w:t>
            </w:r>
          </w:p>
        </w:tc>
      </w:tr>
      <w:tr w:rsidR="000531DA" w:rsidRPr="000531DA" w14:paraId="42616B26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A05CFC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C00D95D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PHB2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79F96FB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Prohibitin-2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06FFEFE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2.53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39607A6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1.71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DB0600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2.12</w:t>
            </w:r>
          </w:p>
        </w:tc>
      </w:tr>
      <w:tr w:rsidR="000531DA" w:rsidRPr="000531DA" w14:paraId="4FBF135A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E5872E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123C3F64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TOMM22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C589966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Mitochondrial import receptor subunit TOM22 homolog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5E01AF2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1A84D00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09E9B7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2.10</w:t>
            </w:r>
          </w:p>
        </w:tc>
      </w:tr>
      <w:tr w:rsidR="000531DA" w:rsidRPr="000531DA" w14:paraId="2E275F2C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705630FB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5A2081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PKM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41C49D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Pyruvate kinase isozymes M1/M2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C48C85D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F3B9823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1.98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C48566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2.04</w:t>
            </w:r>
          </w:p>
        </w:tc>
      </w:tr>
      <w:tr w:rsidR="000531DA" w:rsidRPr="000531DA" w14:paraId="133E8B3D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377AE5D7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119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00D02E32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IGLC</w:t>
            </w: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2;IGLC</w:t>
            </w:r>
            <w:proofErr w:type="gram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3;IGLC6;IGLC1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4D88D369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 xml:space="preserve">Ig </w:t>
            </w:r>
            <w:proofErr w:type="gramStart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lambda-1</w:t>
            </w:r>
            <w:proofErr w:type="gramEnd"/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/2/3/6 chain C regions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1523332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1.82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26EDDA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72391744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2.04</w:t>
            </w:r>
          </w:p>
        </w:tc>
      </w:tr>
      <w:tr w:rsidR="000531DA" w:rsidRPr="000531DA" w14:paraId="48AB3A93" w14:textId="77777777" w:rsidTr="009D61CE">
        <w:trPr>
          <w:trHeight w:val="240"/>
        </w:trPr>
        <w:tc>
          <w:tcPr>
            <w:tcW w:w="515" w:type="dxa"/>
            <w:tcBorders>
              <w:top w:val="nil"/>
              <w:left w:val="single" w:sz="4" w:space="0" w:color="D0CECE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61704D31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2C4E4D2F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CAND1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bottom"/>
            <w:hideMark/>
          </w:tcPr>
          <w:p w14:paraId="52F3CBA1" w14:textId="77777777" w:rsidR="000531DA" w:rsidRPr="000531DA" w:rsidRDefault="000531DA" w:rsidP="000531DA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Cullin-associated NEDD8-dissociated protein 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6DD7CB3C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2.29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0A9C9E48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1.75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D0CECE"/>
              <w:right w:val="single" w:sz="4" w:space="0" w:color="D0CECE"/>
            </w:tcBorders>
            <w:shd w:val="clear" w:color="auto" w:fill="auto"/>
            <w:noWrap/>
            <w:vAlign w:val="center"/>
            <w:hideMark/>
          </w:tcPr>
          <w:p w14:paraId="3570EFC5" w14:textId="77777777" w:rsidR="000531DA" w:rsidRPr="000531DA" w:rsidRDefault="000531DA" w:rsidP="000531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  <w:r w:rsidRPr="000531DA"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  <w:t>2.02</w:t>
            </w:r>
          </w:p>
        </w:tc>
      </w:tr>
    </w:tbl>
    <w:p w14:paraId="42FD1255" w14:textId="2E1A5111" w:rsidR="000531DA" w:rsidRDefault="000531DA" w:rsidP="0038461A"/>
    <w:p w14:paraId="370CD378" w14:textId="641DD31B" w:rsidR="00775481" w:rsidRDefault="00775481" w:rsidP="00775481">
      <w:pPr>
        <w:pStyle w:val="Heading1"/>
      </w:pPr>
      <w:r>
        <w:t>Figure and Table Captions</w:t>
      </w:r>
    </w:p>
    <w:p w14:paraId="753BEA9E" w14:textId="77777777" w:rsidR="0075753C" w:rsidRPr="000531DA" w:rsidRDefault="0075753C" w:rsidP="0075753C">
      <w:pPr>
        <w:pStyle w:val="NoSpacing"/>
        <w:rPr>
          <w:b/>
          <w:bCs/>
        </w:rPr>
      </w:pPr>
      <w:r w:rsidRPr="000531DA">
        <w:rPr>
          <w:b/>
          <w:bCs/>
        </w:rPr>
        <w:t xml:space="preserve">Fig. S1 Time course of DAPI sensitivity and cell counts in </w:t>
      </w:r>
      <w:proofErr w:type="gramStart"/>
      <w:r w:rsidRPr="000531DA">
        <w:rPr>
          <w:b/>
          <w:bCs/>
        </w:rPr>
        <w:t>Lymphocytes</w:t>
      </w:r>
      <w:proofErr w:type="gramEnd"/>
      <w:r w:rsidRPr="000531DA">
        <w:rPr>
          <w:b/>
          <w:bCs/>
        </w:rPr>
        <w:t xml:space="preserve"> gate (supplement to Fig. 2)</w:t>
      </w:r>
    </w:p>
    <w:p w14:paraId="16A4B380" w14:textId="59E3227E" w:rsidR="0075753C" w:rsidRPr="0061453A" w:rsidRDefault="0075753C" w:rsidP="0075753C">
      <w:pPr>
        <w:pStyle w:val="NoSpacing"/>
      </w:pPr>
      <w:r w:rsidRPr="0061453A">
        <w:t>B</w:t>
      </w:r>
      <w:r>
        <w:t> </w:t>
      </w:r>
      <w:r w:rsidRPr="0061453A">
        <w:t>cells were isolated from PBMCs and cultivated in presence of three different BambL concentrations or left unstimulated for 4 days</w:t>
      </w:r>
      <w:r>
        <w:t xml:space="preserve"> (n = 1 for each condition and time point)</w:t>
      </w:r>
      <w:r w:rsidRPr="0061453A">
        <w:t>. Samples were analyzed by flow cytometry after each day.</w:t>
      </w:r>
    </w:p>
    <w:p w14:paraId="4786F1F8" w14:textId="77777777" w:rsidR="0075753C" w:rsidRPr="0061453A" w:rsidRDefault="0075753C" w:rsidP="0075753C">
      <w:pPr>
        <w:pStyle w:val="NoSpacing"/>
        <w:ind w:left="270" w:hanging="270"/>
      </w:pPr>
      <w:r w:rsidRPr="0061453A">
        <w:rPr>
          <w:b/>
          <w:bCs/>
        </w:rPr>
        <w:t>a</w:t>
      </w:r>
      <w:r w:rsidRPr="0061453A">
        <w:tab/>
      </w:r>
      <w:r w:rsidRPr="0041336C">
        <w:rPr>
          <w:b/>
          <w:bCs/>
        </w:rPr>
        <w:t>DAPI sensitivity.</w:t>
      </w:r>
      <w:r w:rsidRPr="0061453A">
        <w:t xml:space="preserve"> Histograms of DAPI fluorescence; numbers indicate the frequencies of cells considered DAPI-positive in each sample.</w:t>
      </w:r>
    </w:p>
    <w:p w14:paraId="763F960A" w14:textId="3063F8E4" w:rsidR="00C176E3" w:rsidRPr="00E45002" w:rsidRDefault="0075753C" w:rsidP="0075753C">
      <w:pPr>
        <w:ind w:left="270" w:hanging="270"/>
        <w:jc w:val="left"/>
        <w:rPr>
          <w:rFonts w:eastAsiaTheme="majorEastAsia" w:cstheme="majorBidi"/>
          <w:b/>
          <w:szCs w:val="26"/>
          <w:u w:val="single"/>
        </w:rPr>
      </w:pPr>
      <w:r>
        <w:rPr>
          <w:b/>
          <w:bCs/>
        </w:rPr>
        <w:t>b</w:t>
      </w:r>
      <w:r>
        <w:tab/>
      </w:r>
      <w:r w:rsidRPr="0041336C">
        <w:rPr>
          <w:b/>
          <w:bCs/>
        </w:rPr>
        <w:t>Light scattering behavior.</w:t>
      </w:r>
      <w:r w:rsidRPr="0061453A">
        <w:t xml:space="preserve"> Sideward (SSC) versus forward (FSC) scattering; numbers indicate frequencies in the </w:t>
      </w:r>
      <w:proofErr w:type="gramStart"/>
      <w:r w:rsidRPr="0061453A">
        <w:t>lymphocytes</w:t>
      </w:r>
      <w:proofErr w:type="gramEnd"/>
      <w:r w:rsidRPr="0061453A">
        <w:t xml:space="preserve"> gates.</w:t>
      </w:r>
    </w:p>
    <w:p w14:paraId="4174842A" w14:textId="77777777" w:rsidR="007035E9" w:rsidRPr="00E93DF2" w:rsidRDefault="007035E9" w:rsidP="007035E9">
      <w:pPr>
        <w:pStyle w:val="NoSpacing"/>
        <w:rPr>
          <w:b/>
          <w:bCs/>
        </w:rPr>
      </w:pPr>
      <w:r w:rsidRPr="00E93DF2">
        <w:rPr>
          <w:b/>
          <w:bCs/>
        </w:rPr>
        <w:t>Fig. S2 BambL does not induce B cell proliferation at a non-toxic concentration</w:t>
      </w:r>
    </w:p>
    <w:p w14:paraId="2DFF1846" w14:textId="77777777" w:rsidR="007035E9" w:rsidRDefault="007035E9" w:rsidP="00F35651">
      <w:pPr>
        <w:spacing w:after="0"/>
      </w:pPr>
      <w:r>
        <w:t xml:space="preserve">Purified B cells were labeled with </w:t>
      </w:r>
      <w:proofErr w:type="spellStart"/>
      <w:r>
        <w:t>CellTrace</w:t>
      </w:r>
      <w:proofErr w:type="spellEnd"/>
      <w:r>
        <w:t xml:space="preserve"> Violet and cultivated in presence of 0.1 µg/mL BambL for 4 days. As controls, cells were stimulated with CpG oligonucleotides + BAFF or left unstimulated. Plots are representative of n = 4.</w:t>
      </w:r>
    </w:p>
    <w:p w14:paraId="2E53072E" w14:textId="77777777" w:rsidR="007035E9" w:rsidRPr="00EC594F" w:rsidRDefault="007035E9" w:rsidP="007035E9">
      <w:pPr>
        <w:pStyle w:val="NoSpacing"/>
        <w:ind w:left="270" w:hanging="270"/>
        <w:rPr>
          <w:b/>
          <w:bCs/>
        </w:rPr>
      </w:pPr>
      <w:r w:rsidRPr="00EC594F">
        <w:rPr>
          <w:b/>
          <w:bCs/>
        </w:rPr>
        <w:t>a</w:t>
      </w:r>
      <w:r w:rsidRPr="00EC594F">
        <w:rPr>
          <w:b/>
          <w:bCs/>
        </w:rPr>
        <w:tab/>
        <w:t xml:space="preserve">Proportion of viable B cells is </w:t>
      </w:r>
      <w:proofErr w:type="gramStart"/>
      <w:r w:rsidRPr="00EC594F">
        <w:rPr>
          <w:b/>
          <w:bCs/>
        </w:rPr>
        <w:t>similar to</w:t>
      </w:r>
      <w:proofErr w:type="gramEnd"/>
      <w:r w:rsidRPr="00EC594F">
        <w:rPr>
          <w:b/>
          <w:bCs/>
        </w:rPr>
        <w:t xml:space="preserve"> unstimulated controls. </w:t>
      </w:r>
      <w:r w:rsidRPr="00EC594F">
        <w:t>Light scattering plots demonstrate no changes in viable B cell numbers upon BambL stimulation, unlike CpG + BAFF.</w:t>
      </w:r>
    </w:p>
    <w:p w14:paraId="424729B5" w14:textId="77777777" w:rsidR="007035E9" w:rsidRPr="00EC594F" w:rsidRDefault="007035E9" w:rsidP="00F35651">
      <w:pPr>
        <w:pStyle w:val="NoSpacing"/>
        <w:spacing w:after="120"/>
        <w:ind w:left="274" w:hanging="274"/>
      </w:pPr>
      <w:r w:rsidRPr="00EC594F">
        <w:rPr>
          <w:b/>
          <w:bCs/>
        </w:rPr>
        <w:t>b</w:t>
      </w:r>
      <w:r w:rsidRPr="00EC594F">
        <w:rPr>
          <w:b/>
          <w:bCs/>
        </w:rPr>
        <w:tab/>
        <w:t xml:space="preserve">Fluorescence histogram of the proliferation dye remains unchanged. </w:t>
      </w:r>
      <w:r w:rsidRPr="00EC594F">
        <w:t>BambL-treated cells present a single fluorescence peak, whereas CpG + BAFF induced 6 to 7 additional peaks at lower fluorescence intensity (representing 6 to 7 cell divisions).</w:t>
      </w:r>
    </w:p>
    <w:p w14:paraId="6EDB3581" w14:textId="03704DC9" w:rsidR="007035E9" w:rsidRPr="000531DA" w:rsidRDefault="007035E9" w:rsidP="007035E9">
      <w:pPr>
        <w:pStyle w:val="NoSpacing"/>
        <w:rPr>
          <w:b/>
          <w:bCs/>
        </w:rPr>
      </w:pPr>
      <w:r w:rsidRPr="000531DA">
        <w:rPr>
          <w:b/>
          <w:bCs/>
        </w:rPr>
        <w:t>Fig. S</w:t>
      </w:r>
      <w:r>
        <w:rPr>
          <w:b/>
          <w:bCs/>
        </w:rPr>
        <w:t>3</w:t>
      </w:r>
      <w:r w:rsidRPr="000531DA">
        <w:rPr>
          <w:b/>
          <w:bCs/>
        </w:rPr>
        <w:t xml:space="preserve"> High BambL concentrations are cytotoxic and are not counteracted by BAFF</w:t>
      </w:r>
    </w:p>
    <w:p w14:paraId="0162E086" w14:textId="13C7B6B9" w:rsidR="007035E9" w:rsidRDefault="007035E9" w:rsidP="00F35651">
      <w:pPr>
        <w:pStyle w:val="NoSpacing"/>
        <w:spacing w:after="120"/>
      </w:pPr>
      <w:r>
        <w:t>Isolated B cells</w:t>
      </w:r>
      <w:r w:rsidRPr="00730DFB">
        <w:t xml:space="preserve"> were exposed to 0.1 µg/mL BambL, 1.0 µg/mL BambL, 1.0 µg/mL anti-IgM</w:t>
      </w:r>
      <w:r>
        <w:t xml:space="preserve"> (‘</w:t>
      </w:r>
      <w:proofErr w:type="spellStart"/>
      <w:r>
        <w:t>aIgM</w:t>
      </w:r>
      <w:proofErr w:type="spellEnd"/>
      <w:r>
        <w:t>’)</w:t>
      </w:r>
      <w:r w:rsidRPr="00730DFB">
        <w:t xml:space="preserve"> or left unstimulated</w:t>
      </w:r>
      <w:r>
        <w:t xml:space="preserve"> (‘ctrl’)</w:t>
      </w:r>
      <w:r w:rsidRPr="00730DFB">
        <w:t xml:space="preserve">. A second set of samples was supplemented with 25 ng/mL BAFF. After 16 h, the cells were collected and stained with Annexin V and DAPI to </w:t>
      </w:r>
      <w:r>
        <w:t xml:space="preserve">roughly </w:t>
      </w:r>
      <w:r w:rsidRPr="00730DFB">
        <w:t>characterize cell viability in flow-cytometric analyses.</w:t>
      </w:r>
      <w:r>
        <w:t xml:space="preserve"> </w:t>
      </w:r>
      <w:r w:rsidRPr="00730DFB">
        <w:t>Gray bars are mean values of n = 2, circles represent individual data points.</w:t>
      </w:r>
    </w:p>
    <w:p w14:paraId="78A47AB3" w14:textId="77777777" w:rsidR="00F2755E" w:rsidRPr="00EB433F" w:rsidRDefault="00F2755E" w:rsidP="00F2755E">
      <w:pPr>
        <w:pStyle w:val="NoSpacing"/>
        <w:rPr>
          <w:b/>
          <w:bCs/>
        </w:rPr>
      </w:pPr>
      <w:r w:rsidRPr="00EB433F">
        <w:rPr>
          <w:b/>
          <w:bCs/>
        </w:rPr>
        <w:t>Fig. S</w:t>
      </w:r>
      <w:r>
        <w:rPr>
          <w:b/>
          <w:bCs/>
        </w:rPr>
        <w:t>4</w:t>
      </w:r>
      <w:r w:rsidRPr="00EB433F">
        <w:rPr>
          <w:b/>
          <w:bCs/>
        </w:rPr>
        <w:t xml:space="preserve"> BambL activates human T cells and induces a CD25</w:t>
      </w:r>
      <w:r w:rsidRPr="00084F23">
        <w:rPr>
          <w:b/>
          <w:bCs/>
          <w:vertAlign w:val="superscript"/>
        </w:rPr>
        <w:t>+</w:t>
      </w:r>
      <w:r w:rsidRPr="00EB433F">
        <w:rPr>
          <w:b/>
          <w:bCs/>
        </w:rPr>
        <w:t xml:space="preserve"> CTLA4</w:t>
      </w:r>
      <w:r w:rsidRPr="00084F23">
        <w:rPr>
          <w:b/>
          <w:bCs/>
          <w:vertAlign w:val="superscript"/>
        </w:rPr>
        <w:t>+</w:t>
      </w:r>
      <w:r w:rsidRPr="00EB433F">
        <w:rPr>
          <w:b/>
          <w:bCs/>
        </w:rPr>
        <w:t xml:space="preserve"> T</w:t>
      </w:r>
      <w:r w:rsidRPr="00084F23">
        <w:rPr>
          <w:b/>
          <w:bCs/>
          <w:vertAlign w:val="subscript"/>
        </w:rPr>
        <w:t>reg</w:t>
      </w:r>
      <w:r w:rsidRPr="00EB433F">
        <w:rPr>
          <w:b/>
          <w:bCs/>
        </w:rPr>
        <w:t xml:space="preserve"> phenotype.</w:t>
      </w:r>
    </w:p>
    <w:p w14:paraId="590415CB" w14:textId="77777777" w:rsidR="00F2755E" w:rsidRDefault="00F2755E" w:rsidP="00F35651">
      <w:pPr>
        <w:spacing w:after="0"/>
      </w:pPr>
      <w:r>
        <w:t xml:space="preserve">PBMCs were cultivated in presence of different stimuli for 16 h, then analyzed by flow cytometry. Statistical significance (ANOVA with Tukey’s correction): </w:t>
      </w:r>
      <w:r w:rsidRPr="00CE59BD">
        <w:t xml:space="preserve">ns (p&gt;0.05), </w:t>
      </w:r>
      <w:r w:rsidRPr="00CE59BD">
        <w:rPr>
          <w:rFonts w:ascii="Cambria Math" w:hAnsi="Cambria Math" w:cs="Cambria Math"/>
        </w:rPr>
        <w:t>∗</w:t>
      </w:r>
      <w:r w:rsidRPr="00CE59BD">
        <w:t xml:space="preserve"> (p</w:t>
      </w:r>
      <w:r w:rsidRPr="00CE59BD">
        <w:rPr>
          <w:rFonts w:ascii="Calibri" w:hAnsi="Calibri" w:cs="Calibri"/>
        </w:rPr>
        <w:t>≤</w:t>
      </w:r>
      <w:r w:rsidRPr="00CE59BD">
        <w:t xml:space="preserve">0.05), </w:t>
      </w:r>
      <w:r w:rsidRPr="00CE59BD">
        <w:rPr>
          <w:rFonts w:ascii="Cambria Math" w:hAnsi="Cambria Math" w:cs="Cambria Math"/>
        </w:rPr>
        <w:t>∗∗</w:t>
      </w:r>
      <w:r w:rsidRPr="00CE59BD">
        <w:rPr>
          <w:rFonts w:ascii="Calibri" w:hAnsi="Calibri" w:cs="Calibri"/>
        </w:rPr>
        <w:t> </w:t>
      </w:r>
      <w:r w:rsidRPr="00CE59BD">
        <w:t>(p</w:t>
      </w:r>
      <w:r w:rsidRPr="00CE59BD">
        <w:rPr>
          <w:rFonts w:ascii="Calibri" w:hAnsi="Calibri" w:cs="Calibri"/>
        </w:rPr>
        <w:t>≤</w:t>
      </w:r>
      <w:r w:rsidRPr="00CE59BD">
        <w:t xml:space="preserve">0.01), </w:t>
      </w:r>
      <w:r w:rsidRPr="00CE59BD">
        <w:rPr>
          <w:rFonts w:ascii="Cambria Math" w:hAnsi="Cambria Math" w:cs="Cambria Math"/>
        </w:rPr>
        <w:t>∗∗∗</w:t>
      </w:r>
      <w:r w:rsidRPr="00CE59BD">
        <w:t xml:space="preserve"> (p</w:t>
      </w:r>
      <w:r w:rsidRPr="00CE59BD">
        <w:rPr>
          <w:rFonts w:ascii="Calibri" w:hAnsi="Calibri" w:cs="Calibri"/>
        </w:rPr>
        <w:t>≤</w:t>
      </w:r>
      <w:r w:rsidRPr="00CE59BD">
        <w:t xml:space="preserve">0.001), </w:t>
      </w:r>
      <w:r w:rsidRPr="00CE59BD">
        <w:rPr>
          <w:rFonts w:ascii="Cambria Math" w:hAnsi="Cambria Math" w:cs="Cambria Math"/>
        </w:rPr>
        <w:t>∗∗∗∗</w:t>
      </w:r>
      <w:r w:rsidRPr="00CE59BD">
        <w:t xml:space="preserve"> (p</w:t>
      </w:r>
      <w:r w:rsidRPr="00CE59BD">
        <w:rPr>
          <w:rFonts w:ascii="Calibri" w:hAnsi="Calibri" w:cs="Calibri"/>
        </w:rPr>
        <w:t>≤</w:t>
      </w:r>
      <w:r w:rsidRPr="00CE59BD">
        <w:t>0.0001)</w:t>
      </w:r>
      <w:r>
        <w:t>.</w:t>
      </w:r>
    </w:p>
    <w:p w14:paraId="0CC4F4D3" w14:textId="77777777" w:rsidR="00F2755E" w:rsidRDefault="00F2755E" w:rsidP="00F2755E">
      <w:pPr>
        <w:spacing w:after="0"/>
        <w:ind w:left="274" w:hanging="274"/>
      </w:pPr>
      <w:r w:rsidRPr="00A34794">
        <w:rPr>
          <w:b/>
          <w:bCs/>
        </w:rPr>
        <w:t>a</w:t>
      </w:r>
      <w:r w:rsidRPr="00A34794">
        <w:rPr>
          <w:b/>
          <w:bCs/>
        </w:rPr>
        <w:tab/>
      </w:r>
      <w:r>
        <w:rPr>
          <w:b/>
          <w:bCs/>
        </w:rPr>
        <w:t>BambL induces CD69 expression in both CD4</w:t>
      </w:r>
      <w:r w:rsidRPr="00B03D81">
        <w:rPr>
          <w:b/>
          <w:bCs/>
          <w:vertAlign w:val="superscript"/>
        </w:rPr>
        <w:t>+</w:t>
      </w:r>
      <w:r>
        <w:rPr>
          <w:b/>
          <w:bCs/>
        </w:rPr>
        <w:t xml:space="preserve"> and CD4</w:t>
      </w:r>
      <w:r w:rsidRPr="00B03D81">
        <w:rPr>
          <w:b/>
          <w:bCs/>
          <w:vertAlign w:val="superscript"/>
        </w:rPr>
        <w:t>-</w:t>
      </w:r>
      <w:r>
        <w:rPr>
          <w:b/>
          <w:bCs/>
        </w:rPr>
        <w:t xml:space="preserve"> T cells</w:t>
      </w:r>
      <w:r>
        <w:t>. PBMCs were stimulated with 0.1 µg/mL BambL, 1 µg/mL anti</w:t>
      </w:r>
      <w:r>
        <w:noBreakHyphen/>
        <w:t xml:space="preserve">IgM, or a surface coating of anti-CD3. Bars represent mean fold changes of viable cells versus unstimulated controls </w:t>
      </w:r>
      <w:r>
        <w:rPr>
          <w:rFonts w:cstheme="minorHAnsi"/>
        </w:rPr>
        <w:t>±</w:t>
      </w:r>
      <w:r>
        <w:t> SD (n = 3</w:t>
      </w:r>
      <w:r w:rsidRPr="00A16B6D">
        <w:t>)</w:t>
      </w:r>
      <w:r>
        <w:t>. B cells displayed a stronger increase in the proportion of CD69</w:t>
      </w:r>
      <w:r w:rsidRPr="00A542BD">
        <w:rPr>
          <w:vertAlign w:val="superscript"/>
        </w:rPr>
        <w:t>+</w:t>
      </w:r>
      <w:r>
        <w:t xml:space="preserve"> cells after BambL exposure than either T cell subset.</w:t>
      </w:r>
    </w:p>
    <w:p w14:paraId="7AF10197" w14:textId="77777777" w:rsidR="00F2755E" w:rsidRDefault="00F2755E" w:rsidP="00F2755E">
      <w:pPr>
        <w:spacing w:after="0"/>
        <w:ind w:left="274" w:hanging="274"/>
      </w:pPr>
      <w:r w:rsidRPr="00F43DEA">
        <w:rPr>
          <w:b/>
          <w:bCs/>
        </w:rPr>
        <w:t>b</w:t>
      </w:r>
      <w:r w:rsidRPr="00F43DEA">
        <w:rPr>
          <w:b/>
          <w:bCs/>
        </w:rPr>
        <w:tab/>
      </w:r>
      <w:r>
        <w:rPr>
          <w:b/>
          <w:bCs/>
        </w:rPr>
        <w:t>CTLA4</w:t>
      </w:r>
      <w:r w:rsidRPr="00296A90">
        <w:rPr>
          <w:b/>
          <w:bCs/>
          <w:vertAlign w:val="superscript"/>
        </w:rPr>
        <w:t>+</w:t>
      </w:r>
      <w:r>
        <w:rPr>
          <w:b/>
          <w:bCs/>
        </w:rPr>
        <w:t xml:space="preserve"> </w:t>
      </w:r>
      <w:r w:rsidRPr="00F43DEA">
        <w:rPr>
          <w:b/>
          <w:bCs/>
        </w:rPr>
        <w:t>CD4</w:t>
      </w:r>
      <w:r w:rsidRPr="00296A90">
        <w:rPr>
          <w:b/>
          <w:bCs/>
          <w:vertAlign w:val="superscript"/>
        </w:rPr>
        <w:t>+</w:t>
      </w:r>
      <w:r w:rsidRPr="00F43DEA">
        <w:rPr>
          <w:b/>
          <w:bCs/>
        </w:rPr>
        <w:t xml:space="preserve"> T cell</w:t>
      </w:r>
      <w:r>
        <w:rPr>
          <w:b/>
          <w:bCs/>
        </w:rPr>
        <w:t>s experience TIGIT downmodulation but CD25 upregulation</w:t>
      </w:r>
      <w:r w:rsidRPr="00296A90">
        <w:t>.</w:t>
      </w:r>
      <w:r>
        <w:t xml:space="preserve"> PBMCs were stimulated with 0.1 µg/mL BambL or 1 µg/mL anti-CD3. Bars represent mean f</w:t>
      </w:r>
      <w:r w:rsidRPr="00A16B6D">
        <w:t xml:space="preserve">requencies of </w:t>
      </w:r>
      <w:r>
        <w:t xml:space="preserve">viable cells </w:t>
      </w:r>
      <w:r>
        <w:rPr>
          <w:rFonts w:cstheme="minorHAnsi"/>
        </w:rPr>
        <w:t>±</w:t>
      </w:r>
      <w:r>
        <w:t> SD (n = 4</w:t>
      </w:r>
      <w:r w:rsidRPr="00A16B6D">
        <w:t>)</w:t>
      </w:r>
      <w:r>
        <w:t>. Both stimuli caused a loss of TIGIT expression among CTLA4</w:t>
      </w:r>
      <w:r w:rsidRPr="001148AF">
        <w:rPr>
          <w:vertAlign w:val="superscript"/>
        </w:rPr>
        <w:t>+</w:t>
      </w:r>
      <w:r>
        <w:t xml:space="preserve"> cells, but only BambL stimulated CD25 upregulation.</w:t>
      </w:r>
    </w:p>
    <w:p w14:paraId="0AD6EDE0" w14:textId="77777777" w:rsidR="00F2755E" w:rsidRPr="001148AF" w:rsidRDefault="00F2755E" w:rsidP="00F2755E">
      <w:pPr>
        <w:ind w:left="270" w:hanging="270"/>
      </w:pPr>
      <w:r w:rsidRPr="001148AF">
        <w:rPr>
          <w:b/>
          <w:bCs/>
        </w:rPr>
        <w:t>c</w:t>
      </w:r>
      <w:r w:rsidRPr="001148AF">
        <w:rPr>
          <w:b/>
          <w:bCs/>
        </w:rPr>
        <w:tab/>
        <w:t xml:space="preserve">Cytotoxic T lymphocytes (CTLs) </w:t>
      </w:r>
      <w:r>
        <w:rPr>
          <w:b/>
          <w:bCs/>
        </w:rPr>
        <w:t>increase CTLA4</w:t>
      </w:r>
      <w:r w:rsidRPr="005E2E23">
        <w:rPr>
          <w:b/>
          <w:bCs/>
          <w:vertAlign w:val="superscript"/>
        </w:rPr>
        <w:t>+</w:t>
      </w:r>
      <w:r>
        <w:rPr>
          <w:b/>
          <w:bCs/>
        </w:rPr>
        <w:t xml:space="preserve"> CD25</w:t>
      </w:r>
      <w:r w:rsidRPr="005E2E23">
        <w:rPr>
          <w:b/>
          <w:bCs/>
          <w:vertAlign w:val="superscript"/>
        </w:rPr>
        <w:t>+</w:t>
      </w:r>
      <w:r>
        <w:rPr>
          <w:b/>
          <w:bCs/>
        </w:rPr>
        <w:t xml:space="preserve"> expression. </w:t>
      </w:r>
      <w:r>
        <w:t>PBMCs were stimulated as in Fig. S3b (n = 4). BambL elicited an increase of the CTLA4</w:t>
      </w:r>
      <w:r w:rsidRPr="005E2E23">
        <w:rPr>
          <w:vertAlign w:val="superscript"/>
        </w:rPr>
        <w:t>+</w:t>
      </w:r>
      <w:r>
        <w:t xml:space="preserve"> CD25</w:t>
      </w:r>
      <w:r w:rsidRPr="005E2E23">
        <w:rPr>
          <w:vertAlign w:val="superscript"/>
        </w:rPr>
        <w:t>+</w:t>
      </w:r>
      <w:r>
        <w:t xml:space="preserve"> fraction among CTLs (CD8</w:t>
      </w:r>
      <w:r w:rsidRPr="005E2E23">
        <w:rPr>
          <w:vertAlign w:val="superscript"/>
        </w:rPr>
        <w:t>+</w:t>
      </w:r>
      <w:r>
        <w:t xml:space="preserve"> CD56</w:t>
      </w:r>
      <w:r w:rsidRPr="005E2E23">
        <w:rPr>
          <w:vertAlign w:val="superscript"/>
        </w:rPr>
        <w:t>-</w:t>
      </w:r>
      <w:r>
        <w:t>), but TIGIT levels remained unchanged. Receptor expression in natural killer cells (NK cells, CD8</w:t>
      </w:r>
      <w:r w:rsidRPr="005E2E23">
        <w:rPr>
          <w:vertAlign w:val="superscript"/>
        </w:rPr>
        <w:t>+</w:t>
      </w:r>
      <w:r>
        <w:t xml:space="preserve"> CD56</w:t>
      </w:r>
      <w:r w:rsidRPr="005E2E23">
        <w:rPr>
          <w:vertAlign w:val="superscript"/>
        </w:rPr>
        <w:t>+</w:t>
      </w:r>
      <w:r>
        <w:t>) was unaffected by BambL stimulation.</w:t>
      </w:r>
    </w:p>
    <w:p w14:paraId="2D0B2440" w14:textId="77777777" w:rsidR="00A70BDE" w:rsidRPr="00775481" w:rsidRDefault="00A70BDE" w:rsidP="00A70BDE">
      <w:pPr>
        <w:pStyle w:val="NoSpacing"/>
        <w:rPr>
          <w:b/>
          <w:bCs/>
        </w:rPr>
      </w:pPr>
      <w:r w:rsidRPr="00775481">
        <w:rPr>
          <w:b/>
          <w:bCs/>
        </w:rPr>
        <w:t>Fig. S</w:t>
      </w:r>
      <w:r>
        <w:rPr>
          <w:b/>
          <w:bCs/>
        </w:rPr>
        <w:t>5</w:t>
      </w:r>
      <w:r w:rsidRPr="00775481">
        <w:rPr>
          <w:b/>
          <w:bCs/>
        </w:rPr>
        <w:t xml:space="preserve"> Anti-IgM depletes the BCR but not CD19 (supplement to Fig. 6b)</w:t>
      </w:r>
    </w:p>
    <w:p w14:paraId="1F7A7F9F" w14:textId="5F301098" w:rsidR="00A70BDE" w:rsidRPr="00842BF2" w:rsidRDefault="00A70BDE" w:rsidP="00F35651">
      <w:pPr>
        <w:pStyle w:val="NoSpacing"/>
        <w:spacing w:after="120"/>
      </w:pPr>
      <w:r w:rsidRPr="00842BF2">
        <w:t xml:space="preserve">Cell samples were prepared as for </w:t>
      </w:r>
      <w:r w:rsidRPr="00842BF2">
        <w:rPr>
          <w:b/>
          <w:bCs/>
        </w:rPr>
        <w:t>Fig. 6b</w:t>
      </w:r>
      <w:r w:rsidRPr="00842BF2">
        <w:t xml:space="preserve">, except that BambL was replaced with </w:t>
      </w:r>
      <w:r>
        <w:t xml:space="preserve">1 µg/mL </w:t>
      </w:r>
      <w:r w:rsidRPr="00842BF2">
        <w:t>anti</w:t>
      </w:r>
      <w:r w:rsidRPr="00842BF2">
        <w:noBreakHyphen/>
        <w:t>IgM F(ab’)</w:t>
      </w:r>
      <w:r w:rsidRPr="00842BF2">
        <w:rPr>
          <w:vertAlign w:val="subscript"/>
        </w:rPr>
        <w:t>2</w:t>
      </w:r>
      <w:r w:rsidRPr="00842BF2">
        <w:t xml:space="preserve"> (‘anti</w:t>
      </w:r>
      <w:r w:rsidRPr="00842BF2">
        <w:noBreakHyphen/>
        <w:t>IgM’) during the stimulation step on ice. Briefly, Ramos cells were loaded with anti</w:t>
      </w:r>
      <w:r w:rsidRPr="00842BF2">
        <w:noBreakHyphen/>
        <w:t>IgM on ice, washed and incubated in warm medium for indicated durations until flow cytometric analysis of surface proteins. As controls, cells were left unstimulated (‘ctrl’</w:t>
      </w:r>
      <w:proofErr w:type="gramStart"/>
      <w:r w:rsidRPr="00842BF2">
        <w:t>)</w:t>
      </w:r>
      <w:proofErr w:type="gramEnd"/>
      <w:r w:rsidRPr="00842BF2">
        <w:t xml:space="preserve"> or the treatment solution was supplemented with </w:t>
      </w:r>
      <w:r>
        <w:t xml:space="preserve">10 mM </w:t>
      </w:r>
      <w:r w:rsidRPr="00842BF2">
        <w:t xml:space="preserve">fucose (‘4 h + </w:t>
      </w:r>
      <w:proofErr w:type="spellStart"/>
      <w:r w:rsidRPr="00842BF2">
        <w:t>fuc</w:t>
      </w:r>
      <w:proofErr w:type="spellEnd"/>
      <w:r w:rsidRPr="00842BF2">
        <w:t xml:space="preserve">’). </w:t>
      </w:r>
      <w:r>
        <w:t>Bars are mean fold changes of geometric mean fluorescence intensities (MFI) relative to ‘ctrl’ samples (n = 8). Statistical significance (2</w:t>
      </w:r>
      <w:r>
        <w:noBreakHyphen/>
        <w:t xml:space="preserve">way ANOVA with Dunnett’s correction): </w:t>
      </w:r>
      <w:r w:rsidRPr="00CE59BD">
        <w:t xml:space="preserve">ns (p&gt;0.05), </w:t>
      </w:r>
      <w:r w:rsidRPr="00CE59BD">
        <w:rPr>
          <w:rFonts w:ascii="Cambria Math" w:hAnsi="Cambria Math" w:cs="Cambria Math"/>
        </w:rPr>
        <w:t>∗</w:t>
      </w:r>
      <w:r w:rsidRPr="00CE59BD">
        <w:t xml:space="preserve"> (p</w:t>
      </w:r>
      <w:r w:rsidRPr="00CE59BD">
        <w:rPr>
          <w:rFonts w:ascii="Calibri" w:hAnsi="Calibri" w:cs="Calibri"/>
        </w:rPr>
        <w:t>≤</w:t>
      </w:r>
      <w:r w:rsidRPr="00CE59BD">
        <w:t>0.05),</w:t>
      </w:r>
      <w:r>
        <w:t xml:space="preserve"> </w:t>
      </w:r>
      <w:r w:rsidRPr="00CE59BD">
        <w:rPr>
          <w:rFonts w:ascii="Cambria Math" w:hAnsi="Cambria Math" w:cs="Cambria Math"/>
        </w:rPr>
        <w:t>∗∗</w:t>
      </w:r>
      <w:r w:rsidRPr="00CE59BD">
        <w:rPr>
          <w:rFonts w:ascii="Calibri" w:hAnsi="Calibri" w:cs="Calibri"/>
        </w:rPr>
        <w:t> </w:t>
      </w:r>
      <w:r w:rsidRPr="00CE59BD">
        <w:t>(p</w:t>
      </w:r>
      <w:r w:rsidRPr="00CE59BD">
        <w:rPr>
          <w:rFonts w:ascii="Calibri" w:hAnsi="Calibri" w:cs="Calibri"/>
        </w:rPr>
        <w:t>≤</w:t>
      </w:r>
      <w:r w:rsidRPr="00CE59BD">
        <w:t xml:space="preserve">0.01), </w:t>
      </w:r>
      <w:r w:rsidRPr="00CE59BD">
        <w:rPr>
          <w:rFonts w:ascii="Cambria Math" w:hAnsi="Cambria Math" w:cs="Cambria Math"/>
        </w:rPr>
        <w:t>∗∗∗</w:t>
      </w:r>
      <w:r w:rsidRPr="00CE59BD">
        <w:t xml:space="preserve"> (p</w:t>
      </w:r>
      <w:r w:rsidRPr="00CE59BD">
        <w:rPr>
          <w:rFonts w:ascii="Calibri" w:hAnsi="Calibri" w:cs="Calibri"/>
        </w:rPr>
        <w:t>≤</w:t>
      </w:r>
      <w:r w:rsidRPr="00CE59BD">
        <w:t>0.001)</w:t>
      </w:r>
      <w:r>
        <w:t>,</w:t>
      </w:r>
      <w:r w:rsidRPr="008326F0">
        <w:rPr>
          <w:rFonts w:ascii="Cambria Math" w:hAnsi="Cambria Math" w:cs="Cambria Math"/>
        </w:rPr>
        <w:t xml:space="preserve"> </w:t>
      </w:r>
      <w:r w:rsidRPr="00CE59BD">
        <w:rPr>
          <w:rFonts w:ascii="Cambria Math" w:hAnsi="Cambria Math" w:cs="Cambria Math"/>
        </w:rPr>
        <w:t>∗∗∗∗</w:t>
      </w:r>
      <w:r w:rsidRPr="00CE59BD">
        <w:t xml:space="preserve"> (p</w:t>
      </w:r>
      <w:r w:rsidRPr="00CE59BD">
        <w:rPr>
          <w:rFonts w:ascii="Calibri" w:hAnsi="Calibri" w:cs="Calibri"/>
        </w:rPr>
        <w:t>≤</w:t>
      </w:r>
      <w:r w:rsidRPr="00CE59BD">
        <w:t>0.0001)</w:t>
      </w:r>
      <w:r>
        <w:t>.</w:t>
      </w:r>
    </w:p>
    <w:p w14:paraId="37A9B101" w14:textId="77777777" w:rsidR="00A70BDE" w:rsidRPr="000531DA" w:rsidRDefault="00A70BDE" w:rsidP="00A70BDE">
      <w:pPr>
        <w:pStyle w:val="NoSpacing"/>
        <w:rPr>
          <w:b/>
          <w:bCs/>
        </w:rPr>
      </w:pPr>
      <w:r w:rsidRPr="000531DA">
        <w:rPr>
          <w:b/>
          <w:bCs/>
        </w:rPr>
        <w:t>Tab. S1 SILAC-MS screen for BambL interaction partners on Ramos cells</w:t>
      </w:r>
      <w:r>
        <w:rPr>
          <w:b/>
          <w:bCs/>
        </w:rPr>
        <w:t xml:space="preserve"> (supplement to Fig. 4a)</w:t>
      </w:r>
    </w:p>
    <w:p w14:paraId="03F84BB5" w14:textId="77777777" w:rsidR="00A70BDE" w:rsidRPr="000531DA" w:rsidRDefault="00A70BDE" w:rsidP="00A70BDE">
      <w:pPr>
        <w:spacing w:after="0" w:line="240" w:lineRule="auto"/>
      </w:pPr>
      <w:r w:rsidRPr="000531DA">
        <w:t>Ranked by mean enrichment by BambL</w:t>
      </w:r>
      <w:r w:rsidRPr="000531DA">
        <w:noBreakHyphen/>
        <w:t xml:space="preserve">biotin (n=2). Top 120 hits with a mean enrichment greater than 4-fold. Selected proteins presented in </w:t>
      </w:r>
      <w:r w:rsidRPr="000531DA">
        <w:rPr>
          <w:b/>
          <w:bCs/>
        </w:rPr>
        <w:t>Fig. 4b</w:t>
      </w:r>
      <w:r w:rsidRPr="000531DA">
        <w:t xml:space="preserve"> are highlighted in gray.</w:t>
      </w:r>
    </w:p>
    <w:p w14:paraId="670022BE" w14:textId="77777777" w:rsidR="0075753C" w:rsidRDefault="0075753C"/>
    <w:sectPr w:rsidR="0075753C" w:rsidSect="000531DA">
      <w:pgSz w:w="11909" w:h="16834" w:code="9"/>
      <w:pgMar w:top="720" w:right="720" w:bottom="720" w:left="720" w:header="720" w:footer="720" w:gutter="0"/>
      <w:cols w:space="38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Segoe U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D96BDB"/>
    <w:multiLevelType w:val="hybridMultilevel"/>
    <w:tmpl w:val="26AAB53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07D4"/>
    <w:rsid w:val="00045D6C"/>
    <w:rsid w:val="000531DA"/>
    <w:rsid w:val="00084DD4"/>
    <w:rsid w:val="00084F23"/>
    <w:rsid w:val="001148AF"/>
    <w:rsid w:val="00193D4E"/>
    <w:rsid w:val="001A2842"/>
    <w:rsid w:val="001B5D8D"/>
    <w:rsid w:val="00296A90"/>
    <w:rsid w:val="002E52C3"/>
    <w:rsid w:val="003210E3"/>
    <w:rsid w:val="0034247C"/>
    <w:rsid w:val="00355785"/>
    <w:rsid w:val="00363B15"/>
    <w:rsid w:val="0038461A"/>
    <w:rsid w:val="004C7933"/>
    <w:rsid w:val="00534B4A"/>
    <w:rsid w:val="005621EC"/>
    <w:rsid w:val="005E2E23"/>
    <w:rsid w:val="00650B64"/>
    <w:rsid w:val="007035E9"/>
    <w:rsid w:val="0075753C"/>
    <w:rsid w:val="00775481"/>
    <w:rsid w:val="007F713C"/>
    <w:rsid w:val="00815E10"/>
    <w:rsid w:val="00825C4E"/>
    <w:rsid w:val="008326F0"/>
    <w:rsid w:val="008B10C9"/>
    <w:rsid w:val="008B3C12"/>
    <w:rsid w:val="0094063A"/>
    <w:rsid w:val="00975A33"/>
    <w:rsid w:val="009C07D4"/>
    <w:rsid w:val="009F6934"/>
    <w:rsid w:val="00A06429"/>
    <w:rsid w:val="00A22B51"/>
    <w:rsid w:val="00A34794"/>
    <w:rsid w:val="00A542BD"/>
    <w:rsid w:val="00A677F2"/>
    <w:rsid w:val="00A70BDE"/>
    <w:rsid w:val="00B03D81"/>
    <w:rsid w:val="00B0503D"/>
    <w:rsid w:val="00C176E3"/>
    <w:rsid w:val="00C200DF"/>
    <w:rsid w:val="00C37CB3"/>
    <w:rsid w:val="00C75614"/>
    <w:rsid w:val="00C80F0D"/>
    <w:rsid w:val="00CB09AF"/>
    <w:rsid w:val="00E023BB"/>
    <w:rsid w:val="00E70D33"/>
    <w:rsid w:val="00E842CC"/>
    <w:rsid w:val="00E93DF2"/>
    <w:rsid w:val="00EB433F"/>
    <w:rsid w:val="00EC594F"/>
    <w:rsid w:val="00F2755E"/>
    <w:rsid w:val="00F35651"/>
    <w:rsid w:val="00F43DEA"/>
    <w:rsid w:val="00FC6DA5"/>
    <w:rsid w:val="00FD53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2DE2612"/>
  <w14:defaultImageDpi w14:val="32767"/>
  <w15:chartTrackingRefBased/>
  <w15:docId w15:val="{1A330E26-7356-46D8-BE49-84F7F24CEE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0BDE"/>
    <w:pPr>
      <w:jc w:val="both"/>
    </w:pPr>
  </w:style>
  <w:style w:type="paragraph" w:styleId="Heading1">
    <w:name w:val="heading 1"/>
    <w:basedOn w:val="Normal"/>
    <w:next w:val="Normal"/>
    <w:link w:val="Heading1Char"/>
    <w:uiPriority w:val="9"/>
    <w:qFormat/>
    <w:rsid w:val="00C176E3"/>
    <w:pPr>
      <w:keepNext/>
      <w:keepLines/>
      <w:spacing w:before="240" w:after="0"/>
      <w:jc w:val="center"/>
      <w:outlineLvl w:val="0"/>
    </w:pPr>
    <w:rPr>
      <w:rFonts w:eastAsiaTheme="majorEastAsia" w:cstheme="majorBidi"/>
      <w:b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176E3"/>
    <w:pPr>
      <w:keepNext/>
      <w:keepLines/>
      <w:spacing w:before="40" w:after="0"/>
      <w:outlineLvl w:val="1"/>
    </w:pPr>
    <w:rPr>
      <w:rFonts w:eastAsiaTheme="majorEastAsia" w:cstheme="majorBidi"/>
      <w:b/>
      <w:szCs w:val="26"/>
      <w:u w:val="singl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531DA"/>
    <w:pPr>
      <w:keepNext/>
      <w:keepLines/>
      <w:spacing w:before="40" w:after="0"/>
      <w:jc w:val="left"/>
      <w:outlineLvl w:val="2"/>
    </w:pPr>
    <w:rPr>
      <w:rFonts w:eastAsiaTheme="majorEastAsia" w:cstheme="majorBidi"/>
      <w:b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176E3"/>
    <w:rPr>
      <w:rFonts w:eastAsiaTheme="majorEastAsia" w:cstheme="majorBidi"/>
      <w:b/>
      <w:sz w:val="24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C176E3"/>
    <w:rPr>
      <w:rFonts w:eastAsiaTheme="majorEastAsia" w:cstheme="majorBidi"/>
      <w:b/>
      <w:szCs w:val="26"/>
      <w:u w:val="single"/>
    </w:rPr>
  </w:style>
  <w:style w:type="paragraph" w:styleId="NoSpacing">
    <w:name w:val="No Spacing"/>
    <w:uiPriority w:val="1"/>
    <w:qFormat/>
    <w:rsid w:val="00C176E3"/>
    <w:pPr>
      <w:spacing w:after="0" w:line="240" w:lineRule="auto"/>
      <w:jc w:val="both"/>
    </w:pPr>
  </w:style>
  <w:style w:type="character" w:styleId="Hyperlink">
    <w:name w:val="Hyperlink"/>
    <w:basedOn w:val="DefaultParagraphFont"/>
    <w:uiPriority w:val="99"/>
    <w:unhideWhenUsed/>
    <w:rsid w:val="00815E10"/>
    <w:rPr>
      <w:color w:val="0000FF"/>
      <w:u w:val="single"/>
    </w:rPr>
  </w:style>
  <w:style w:type="character" w:customStyle="1" w:styleId="nlm-addr-line">
    <w:name w:val="nlm-addr-line"/>
    <w:basedOn w:val="DefaultParagraphFont"/>
    <w:rsid w:val="00815E10"/>
  </w:style>
  <w:style w:type="paragraph" w:styleId="Caption">
    <w:name w:val="caption"/>
    <w:basedOn w:val="Normal"/>
    <w:next w:val="Normal"/>
    <w:uiPriority w:val="35"/>
    <w:unhideWhenUsed/>
    <w:qFormat/>
    <w:rsid w:val="000531D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0531DA"/>
    <w:rPr>
      <w:rFonts w:eastAsiaTheme="majorEastAsia" w:cstheme="majorBidi"/>
      <w:b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0531DA"/>
  </w:style>
  <w:style w:type="paragraph" w:styleId="BalloonText">
    <w:name w:val="Balloon Text"/>
    <w:basedOn w:val="Normal"/>
    <w:link w:val="BalloonTextChar"/>
    <w:uiPriority w:val="99"/>
    <w:semiHidden/>
    <w:unhideWhenUsed/>
    <w:rsid w:val="000531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31D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0531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531DA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531DA"/>
    <w:rPr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531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531DA"/>
    <w:rPr>
      <w:b/>
      <w:bCs/>
      <w:szCs w:val="20"/>
    </w:rPr>
  </w:style>
  <w:style w:type="paragraph" w:customStyle="1" w:styleId="EndNoteBibliographyTitle">
    <w:name w:val="EndNote Bibliography Title"/>
    <w:basedOn w:val="Normal"/>
    <w:link w:val="EndNoteBibliographyTitleChar"/>
    <w:rsid w:val="000531DA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0531DA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0531DA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0531DA"/>
    <w:rPr>
      <w:rFonts w:ascii="Calibri" w:hAnsi="Calibri" w:cs="Calibri"/>
      <w:noProof/>
    </w:rPr>
  </w:style>
  <w:style w:type="paragraph" w:styleId="ListParagraph">
    <w:name w:val="List Paragraph"/>
    <w:basedOn w:val="Normal"/>
    <w:uiPriority w:val="34"/>
    <w:qFormat/>
    <w:rsid w:val="000531DA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531DA"/>
    <w:rPr>
      <w:color w:val="605E5C"/>
      <w:shd w:val="clear" w:color="auto" w:fill="E1DFDD"/>
    </w:rPr>
  </w:style>
  <w:style w:type="paragraph" w:customStyle="1" w:styleId="Manuscriptreferences">
    <w:name w:val="Manuscript references"/>
    <w:basedOn w:val="EndNoteBibliography"/>
    <w:link w:val="ManuscriptreferencesChar"/>
    <w:qFormat/>
    <w:rsid w:val="000531DA"/>
    <w:pPr>
      <w:spacing w:after="0"/>
      <w:ind w:left="360" w:hanging="360"/>
    </w:pPr>
    <w:rPr>
      <w:sz w:val="16"/>
      <w:szCs w:val="16"/>
    </w:rPr>
  </w:style>
  <w:style w:type="character" w:customStyle="1" w:styleId="ManuscriptreferencesChar">
    <w:name w:val="Manuscript references Char"/>
    <w:basedOn w:val="EndNoteBibliographyChar"/>
    <w:link w:val="Manuscriptreferences"/>
    <w:rsid w:val="000531DA"/>
    <w:rPr>
      <w:rFonts w:ascii="Calibri" w:hAnsi="Calibri" w:cs="Calibri"/>
      <w:noProof/>
      <w:sz w:val="16"/>
      <w:szCs w:val="16"/>
    </w:rPr>
  </w:style>
  <w:style w:type="paragraph" w:customStyle="1" w:styleId="msonormal0">
    <w:name w:val="msonormal"/>
    <w:basedOn w:val="Normal"/>
    <w:rsid w:val="000531D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5">
    <w:name w:val="xl65"/>
    <w:basedOn w:val="Normal"/>
    <w:rsid w:val="000531D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6">
    <w:name w:val="xl66"/>
    <w:basedOn w:val="Normal"/>
    <w:rsid w:val="000531DA"/>
    <w:pPr>
      <w:shd w:val="clear" w:color="000000" w:fill="E7E6E6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67">
    <w:name w:val="xl67"/>
    <w:basedOn w:val="Normal"/>
    <w:rsid w:val="000531DA"/>
    <w:pPr>
      <w:pBdr>
        <w:bottom w:val="single" w:sz="4" w:space="0" w:color="C9C9C9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68">
    <w:name w:val="xl68"/>
    <w:basedOn w:val="Normal"/>
    <w:rsid w:val="000531D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9">
    <w:name w:val="xl69"/>
    <w:basedOn w:val="Normal"/>
    <w:rsid w:val="000531D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0">
    <w:name w:val="xl70"/>
    <w:basedOn w:val="Normal"/>
    <w:rsid w:val="000531DA"/>
    <w:pPr>
      <w:shd w:val="clear" w:color="000000" w:fill="E7E6E6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1">
    <w:name w:val="xl71"/>
    <w:basedOn w:val="Normal"/>
    <w:rsid w:val="000531DA"/>
    <w:pPr>
      <w:pBdr>
        <w:top w:val="single" w:sz="4" w:space="0" w:color="C9C9C9"/>
      </w:pBdr>
      <w:shd w:val="clear" w:color="A5A5A5" w:fill="E7E6E6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2">
    <w:name w:val="xl72"/>
    <w:basedOn w:val="Normal"/>
    <w:rsid w:val="000531DA"/>
    <w:pPr>
      <w:pBdr>
        <w:top w:val="single" w:sz="4" w:space="0" w:color="C9C9C9"/>
      </w:pBdr>
      <w:shd w:val="clear" w:color="A5A5A5" w:fill="E7E6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3">
    <w:name w:val="xl73"/>
    <w:basedOn w:val="Normal"/>
    <w:rsid w:val="000531DA"/>
    <w:pPr>
      <w:pBdr>
        <w:top w:val="single" w:sz="4" w:space="0" w:color="C9C9C9"/>
        <w:right w:val="single" w:sz="4" w:space="0" w:color="C9C9C9"/>
      </w:pBdr>
      <w:shd w:val="clear" w:color="A5A5A5" w:fill="E7E6E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4">
    <w:name w:val="xl74"/>
    <w:basedOn w:val="Normal"/>
    <w:rsid w:val="000531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5">
    <w:name w:val="xl75"/>
    <w:basedOn w:val="Normal"/>
    <w:rsid w:val="000531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6">
    <w:name w:val="xl76"/>
    <w:basedOn w:val="Normal"/>
    <w:rsid w:val="000531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7">
    <w:name w:val="xl77"/>
    <w:basedOn w:val="Normal"/>
    <w:rsid w:val="000531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FFFFFF"/>
      <w:sz w:val="18"/>
      <w:szCs w:val="18"/>
    </w:rPr>
  </w:style>
  <w:style w:type="paragraph" w:customStyle="1" w:styleId="xl78">
    <w:name w:val="xl78"/>
    <w:basedOn w:val="Normal"/>
    <w:rsid w:val="000531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FFFF"/>
      <w:sz w:val="18"/>
      <w:szCs w:val="18"/>
    </w:rPr>
  </w:style>
  <w:style w:type="paragraph" w:customStyle="1" w:styleId="xl79">
    <w:name w:val="xl79"/>
    <w:basedOn w:val="Normal"/>
    <w:rsid w:val="000531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orcid-id-https">
    <w:name w:val="orcid-id-https"/>
    <w:basedOn w:val="DefaultParagraphFont"/>
    <w:rsid w:val="000531DA"/>
  </w:style>
  <w:style w:type="character" w:styleId="LineNumber">
    <w:name w:val="line number"/>
    <w:basedOn w:val="DefaultParagraphFont"/>
    <w:uiPriority w:val="99"/>
    <w:semiHidden/>
    <w:unhideWhenUsed/>
    <w:rsid w:val="000531DA"/>
  </w:style>
  <w:style w:type="paragraph" w:styleId="Header">
    <w:name w:val="header"/>
    <w:basedOn w:val="Normal"/>
    <w:link w:val="HeaderChar"/>
    <w:uiPriority w:val="99"/>
    <w:unhideWhenUsed/>
    <w:rsid w:val="000531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31DA"/>
  </w:style>
  <w:style w:type="paragraph" w:styleId="Footer">
    <w:name w:val="footer"/>
    <w:basedOn w:val="Normal"/>
    <w:link w:val="FooterChar"/>
    <w:uiPriority w:val="99"/>
    <w:unhideWhenUsed/>
    <w:rsid w:val="000531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31DA"/>
  </w:style>
  <w:style w:type="paragraph" w:styleId="TOCHeading">
    <w:name w:val="TOC Heading"/>
    <w:basedOn w:val="Heading1"/>
    <w:next w:val="Normal"/>
    <w:uiPriority w:val="39"/>
    <w:unhideWhenUsed/>
    <w:qFormat/>
    <w:rsid w:val="000531DA"/>
    <w:pPr>
      <w:jc w:val="left"/>
      <w:outlineLvl w:val="9"/>
    </w:pPr>
    <w:rPr>
      <w:rFonts w:asciiTheme="majorHAnsi" w:hAnsiTheme="majorHAnsi"/>
      <w:b w:val="0"/>
      <w:color w:val="2F5496" w:themeColor="accent1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0531D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0531DA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0531DA"/>
    <w:pPr>
      <w:spacing w:after="100"/>
      <w:ind w:left="440"/>
    </w:pPr>
  </w:style>
  <w:style w:type="character" w:styleId="FollowedHyperlink">
    <w:name w:val="FollowedHyperlink"/>
    <w:basedOn w:val="DefaultParagraphFont"/>
    <w:uiPriority w:val="99"/>
    <w:semiHidden/>
    <w:unhideWhenUsed/>
    <w:rsid w:val="000531DA"/>
    <w:rPr>
      <w:color w:val="954F72" w:themeColor="followedHyperlink"/>
      <w:u w:val="single"/>
    </w:rPr>
  </w:style>
  <w:style w:type="character" w:customStyle="1" w:styleId="ml-auto">
    <w:name w:val="ml-auto"/>
    <w:basedOn w:val="DefaultParagraphFont"/>
    <w:rsid w:val="003846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hermann.eibel@uniklinik-freiburg.de" TargetMode="External"/><Relationship Id="rId11" Type="http://schemas.openxmlformats.org/officeDocument/2006/relationships/image" Target="media/image5.png"/><Relationship Id="rId5" Type="http://schemas.openxmlformats.org/officeDocument/2006/relationships/hyperlink" Target="mailto:winfried.roemer@bioss.uni-freiburg.de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9</Pages>
  <Words>2962</Words>
  <Characters>16888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Frensch</dc:creator>
  <cp:keywords/>
  <dc:description/>
  <cp:lastModifiedBy>Marco Frensch</cp:lastModifiedBy>
  <cp:revision>37</cp:revision>
  <dcterms:created xsi:type="dcterms:W3CDTF">2021-08-28T12:01:00Z</dcterms:created>
  <dcterms:modified xsi:type="dcterms:W3CDTF">2021-08-31T22:34:00Z</dcterms:modified>
</cp:coreProperties>
</file>