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79726" w14:textId="4DA94548" w:rsidR="00595789" w:rsidRDefault="00595789" w:rsidP="00595789">
      <w:r>
        <w:t xml:space="preserve">Supplemental Table </w:t>
      </w:r>
      <w:r w:rsidR="00BA7A5F">
        <w:t>2</w:t>
      </w:r>
      <w:r>
        <w:t xml:space="preserve">: Additional details on baseline antacid exposure for a subset of antacid-exposed patients in the cohort. </w:t>
      </w:r>
    </w:p>
    <w:tbl>
      <w:tblPr>
        <w:tblStyle w:val="ListTable2"/>
        <w:tblW w:w="4950" w:type="dxa"/>
        <w:tblLook w:val="0420" w:firstRow="1" w:lastRow="0" w:firstColumn="0" w:lastColumn="0" w:noHBand="0" w:noVBand="1"/>
      </w:tblPr>
      <w:tblGrid>
        <w:gridCol w:w="3600"/>
        <w:gridCol w:w="1350"/>
      </w:tblGrid>
      <w:tr w:rsidR="00595789" w:rsidRPr="00595789" w14:paraId="3AFFBDEF" w14:textId="77777777" w:rsidTr="00595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tcW w:w="3600" w:type="dxa"/>
            <w:noWrap/>
            <w:vAlign w:val="center"/>
            <w:hideMark/>
          </w:tcPr>
          <w:p w14:paraId="7F003C36" w14:textId="047059B8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noWrap/>
            <w:vAlign w:val="center"/>
            <w:hideMark/>
          </w:tcPr>
          <w:p w14:paraId="4712E59E" w14:textId="08D775D5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 (%)</w:t>
            </w:r>
          </w:p>
        </w:tc>
      </w:tr>
      <w:tr w:rsidR="00595789" w:rsidRPr="00595789" w14:paraId="00A3C7C2" w14:textId="77777777" w:rsidTr="00595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3600" w:type="dxa"/>
            <w:noWrap/>
            <w:vAlign w:val="center"/>
            <w:hideMark/>
          </w:tcPr>
          <w:p w14:paraId="2D22DCD8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Baseline antacid exposure</w:t>
            </w:r>
          </w:p>
        </w:tc>
        <w:tc>
          <w:tcPr>
            <w:tcW w:w="1350" w:type="dxa"/>
            <w:noWrap/>
            <w:vAlign w:val="center"/>
            <w:hideMark/>
          </w:tcPr>
          <w:p w14:paraId="2D7F1DB7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76 (100%)</w:t>
            </w:r>
          </w:p>
        </w:tc>
      </w:tr>
      <w:tr w:rsidR="00595789" w:rsidRPr="00595789" w14:paraId="760A4C33" w14:textId="77777777" w:rsidTr="00595789">
        <w:trPr>
          <w:trHeight w:val="290"/>
        </w:trPr>
        <w:tc>
          <w:tcPr>
            <w:tcW w:w="3600" w:type="dxa"/>
            <w:noWrap/>
            <w:vAlign w:val="center"/>
            <w:hideMark/>
          </w:tcPr>
          <w:p w14:paraId="00264402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USA</w:t>
            </w:r>
          </w:p>
        </w:tc>
        <w:tc>
          <w:tcPr>
            <w:tcW w:w="1350" w:type="dxa"/>
            <w:noWrap/>
            <w:vAlign w:val="center"/>
            <w:hideMark/>
          </w:tcPr>
          <w:p w14:paraId="570BAD75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26 (34.2%)</w:t>
            </w:r>
          </w:p>
        </w:tc>
      </w:tr>
      <w:tr w:rsidR="00595789" w:rsidRPr="00595789" w14:paraId="4729ECD2" w14:textId="77777777" w:rsidTr="00595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3600" w:type="dxa"/>
            <w:noWrap/>
            <w:vAlign w:val="center"/>
            <w:hideMark/>
          </w:tcPr>
          <w:p w14:paraId="041A41EF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Europe</w:t>
            </w:r>
          </w:p>
        </w:tc>
        <w:tc>
          <w:tcPr>
            <w:tcW w:w="1350" w:type="dxa"/>
            <w:noWrap/>
            <w:vAlign w:val="center"/>
            <w:hideMark/>
          </w:tcPr>
          <w:p w14:paraId="7E60159C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33 (43.4%)</w:t>
            </w:r>
          </w:p>
        </w:tc>
      </w:tr>
      <w:tr w:rsidR="00595789" w:rsidRPr="00595789" w14:paraId="54DF0FC7" w14:textId="77777777" w:rsidTr="00595789">
        <w:trPr>
          <w:trHeight w:val="290"/>
        </w:trPr>
        <w:tc>
          <w:tcPr>
            <w:tcW w:w="3600" w:type="dxa"/>
            <w:noWrap/>
            <w:vAlign w:val="center"/>
            <w:hideMark/>
          </w:tcPr>
          <w:p w14:paraId="2E6F048A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Asia</w:t>
            </w:r>
          </w:p>
        </w:tc>
        <w:tc>
          <w:tcPr>
            <w:tcW w:w="1350" w:type="dxa"/>
            <w:noWrap/>
            <w:vAlign w:val="center"/>
            <w:hideMark/>
          </w:tcPr>
          <w:p w14:paraId="740DEA36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17 (22.4%)</w:t>
            </w:r>
          </w:p>
        </w:tc>
      </w:tr>
      <w:tr w:rsidR="00595789" w:rsidRPr="00595789" w14:paraId="583ADBF6" w14:textId="77777777" w:rsidTr="00595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3600" w:type="dxa"/>
            <w:noWrap/>
            <w:vAlign w:val="center"/>
            <w:hideMark/>
          </w:tcPr>
          <w:p w14:paraId="0C3775E7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Baseline PPI only</w:t>
            </w:r>
          </w:p>
        </w:tc>
        <w:tc>
          <w:tcPr>
            <w:tcW w:w="1350" w:type="dxa"/>
            <w:noWrap/>
            <w:vAlign w:val="center"/>
            <w:hideMark/>
          </w:tcPr>
          <w:p w14:paraId="46B2E653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58 (76.3%)</w:t>
            </w:r>
          </w:p>
        </w:tc>
      </w:tr>
      <w:tr w:rsidR="00595789" w:rsidRPr="00595789" w14:paraId="25387E4F" w14:textId="77777777" w:rsidTr="00595789">
        <w:trPr>
          <w:trHeight w:val="290"/>
        </w:trPr>
        <w:tc>
          <w:tcPr>
            <w:tcW w:w="3600" w:type="dxa"/>
            <w:noWrap/>
            <w:vAlign w:val="center"/>
            <w:hideMark/>
          </w:tcPr>
          <w:p w14:paraId="65155617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Baseline H2RA only</w:t>
            </w:r>
          </w:p>
        </w:tc>
        <w:tc>
          <w:tcPr>
            <w:tcW w:w="1350" w:type="dxa"/>
            <w:noWrap/>
            <w:vAlign w:val="center"/>
            <w:hideMark/>
          </w:tcPr>
          <w:p w14:paraId="7E949581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12 (15.8%)</w:t>
            </w:r>
          </w:p>
        </w:tc>
      </w:tr>
      <w:tr w:rsidR="00595789" w:rsidRPr="00595789" w14:paraId="2198B222" w14:textId="77777777" w:rsidTr="00595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3600" w:type="dxa"/>
            <w:noWrap/>
            <w:vAlign w:val="center"/>
            <w:hideMark/>
          </w:tcPr>
          <w:p w14:paraId="03526DB3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Baseline PPI and H2RA exposure</w:t>
            </w:r>
          </w:p>
        </w:tc>
        <w:tc>
          <w:tcPr>
            <w:tcW w:w="1350" w:type="dxa"/>
            <w:noWrap/>
            <w:vAlign w:val="center"/>
            <w:hideMark/>
          </w:tcPr>
          <w:p w14:paraId="0C472D12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6 (7.9%)</w:t>
            </w:r>
          </w:p>
        </w:tc>
      </w:tr>
      <w:tr w:rsidR="00595789" w:rsidRPr="00595789" w14:paraId="6D12BF18" w14:textId="77777777" w:rsidTr="00595789">
        <w:trPr>
          <w:trHeight w:val="290"/>
        </w:trPr>
        <w:tc>
          <w:tcPr>
            <w:tcW w:w="3600" w:type="dxa"/>
            <w:noWrap/>
            <w:vAlign w:val="center"/>
            <w:hideMark/>
          </w:tcPr>
          <w:p w14:paraId="79F67B5C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Duration: &lt;1 week</w:t>
            </w:r>
          </w:p>
        </w:tc>
        <w:tc>
          <w:tcPr>
            <w:tcW w:w="1350" w:type="dxa"/>
            <w:noWrap/>
            <w:vAlign w:val="center"/>
            <w:hideMark/>
          </w:tcPr>
          <w:p w14:paraId="7FE77224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5 (6.6%)</w:t>
            </w:r>
          </w:p>
        </w:tc>
      </w:tr>
      <w:tr w:rsidR="00595789" w:rsidRPr="00595789" w14:paraId="07B925FA" w14:textId="77777777" w:rsidTr="00595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3600" w:type="dxa"/>
            <w:noWrap/>
            <w:vAlign w:val="center"/>
            <w:hideMark/>
          </w:tcPr>
          <w:p w14:paraId="0339EAD7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Duration: 1 to 4 weeks</w:t>
            </w:r>
          </w:p>
        </w:tc>
        <w:tc>
          <w:tcPr>
            <w:tcW w:w="1350" w:type="dxa"/>
            <w:noWrap/>
            <w:vAlign w:val="center"/>
            <w:hideMark/>
          </w:tcPr>
          <w:p w14:paraId="5FF2FBF7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12 (15.8%)</w:t>
            </w:r>
          </w:p>
        </w:tc>
      </w:tr>
      <w:tr w:rsidR="00595789" w:rsidRPr="00595789" w14:paraId="5F71BB9F" w14:textId="77777777" w:rsidTr="00595789">
        <w:trPr>
          <w:trHeight w:val="290"/>
        </w:trPr>
        <w:tc>
          <w:tcPr>
            <w:tcW w:w="3600" w:type="dxa"/>
            <w:noWrap/>
            <w:vAlign w:val="center"/>
            <w:hideMark/>
          </w:tcPr>
          <w:p w14:paraId="64F299DF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Duration: &gt;4 weeks</w:t>
            </w:r>
          </w:p>
        </w:tc>
        <w:tc>
          <w:tcPr>
            <w:tcW w:w="1350" w:type="dxa"/>
            <w:noWrap/>
            <w:vAlign w:val="center"/>
            <w:hideMark/>
          </w:tcPr>
          <w:p w14:paraId="4A05E6BD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59 (77.6%)</w:t>
            </w:r>
          </w:p>
        </w:tc>
      </w:tr>
      <w:tr w:rsidR="00595789" w:rsidRPr="00595789" w14:paraId="76129323" w14:textId="77777777" w:rsidTr="00595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3600" w:type="dxa"/>
            <w:noWrap/>
            <w:vAlign w:val="center"/>
            <w:hideMark/>
          </w:tcPr>
          <w:p w14:paraId="2937B03C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Indication: GI bleeding</w:t>
            </w:r>
          </w:p>
        </w:tc>
        <w:tc>
          <w:tcPr>
            <w:tcW w:w="1350" w:type="dxa"/>
            <w:noWrap/>
            <w:vAlign w:val="center"/>
            <w:hideMark/>
          </w:tcPr>
          <w:p w14:paraId="5870AFBC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1 (1.3%)</w:t>
            </w:r>
          </w:p>
        </w:tc>
      </w:tr>
      <w:tr w:rsidR="00595789" w:rsidRPr="00595789" w14:paraId="003340CF" w14:textId="77777777" w:rsidTr="00595789">
        <w:trPr>
          <w:trHeight w:val="290"/>
        </w:trPr>
        <w:tc>
          <w:tcPr>
            <w:tcW w:w="3600" w:type="dxa"/>
            <w:noWrap/>
            <w:vAlign w:val="center"/>
            <w:hideMark/>
          </w:tcPr>
          <w:p w14:paraId="41A3AFBC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Indication: Acid reflux/ dyspepsia</w:t>
            </w:r>
          </w:p>
        </w:tc>
        <w:tc>
          <w:tcPr>
            <w:tcW w:w="1350" w:type="dxa"/>
            <w:noWrap/>
            <w:vAlign w:val="center"/>
            <w:hideMark/>
          </w:tcPr>
          <w:p w14:paraId="3F998940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33 (43.4%)</w:t>
            </w:r>
          </w:p>
        </w:tc>
      </w:tr>
      <w:tr w:rsidR="00595789" w:rsidRPr="00595789" w14:paraId="5A051D6E" w14:textId="77777777" w:rsidTr="00595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3600" w:type="dxa"/>
            <w:noWrap/>
            <w:vAlign w:val="center"/>
            <w:hideMark/>
          </w:tcPr>
          <w:p w14:paraId="4949EF89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Indication: Procedure/ Prophylaxis</w:t>
            </w:r>
          </w:p>
        </w:tc>
        <w:tc>
          <w:tcPr>
            <w:tcW w:w="1350" w:type="dxa"/>
            <w:noWrap/>
            <w:vAlign w:val="center"/>
            <w:hideMark/>
          </w:tcPr>
          <w:p w14:paraId="3477264D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37 (48.7%)</w:t>
            </w:r>
          </w:p>
        </w:tc>
      </w:tr>
      <w:tr w:rsidR="00595789" w:rsidRPr="00595789" w14:paraId="748C7D82" w14:textId="77777777" w:rsidTr="00595789">
        <w:trPr>
          <w:trHeight w:val="290"/>
        </w:trPr>
        <w:tc>
          <w:tcPr>
            <w:tcW w:w="3600" w:type="dxa"/>
            <w:noWrap/>
            <w:vAlign w:val="center"/>
            <w:hideMark/>
          </w:tcPr>
          <w:p w14:paraId="1146ED6A" w14:textId="77777777" w:rsidR="00595789" w:rsidRPr="00595789" w:rsidRDefault="00595789" w:rsidP="00595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Indication: Other</w:t>
            </w:r>
          </w:p>
        </w:tc>
        <w:tc>
          <w:tcPr>
            <w:tcW w:w="1350" w:type="dxa"/>
            <w:noWrap/>
            <w:vAlign w:val="center"/>
            <w:hideMark/>
          </w:tcPr>
          <w:p w14:paraId="690EB6EC" w14:textId="77777777" w:rsidR="00595789" w:rsidRPr="00595789" w:rsidRDefault="00595789" w:rsidP="00595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789">
              <w:rPr>
                <w:rFonts w:ascii="Calibri" w:eastAsia="Times New Roman" w:hAnsi="Calibri" w:cs="Calibri"/>
                <w:color w:val="000000"/>
              </w:rPr>
              <w:t>5 (6.6%)</w:t>
            </w:r>
          </w:p>
        </w:tc>
      </w:tr>
    </w:tbl>
    <w:p w14:paraId="2F41D22F" w14:textId="0D4AE81F" w:rsidR="00C01825" w:rsidRPr="00595789" w:rsidRDefault="00C01825" w:rsidP="00595789"/>
    <w:sectPr w:rsidR="00C01825" w:rsidRPr="00595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789"/>
    <w:rsid w:val="00595789"/>
    <w:rsid w:val="00BA7A5F"/>
    <w:rsid w:val="00C0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84F0E"/>
  <w15:chartTrackingRefBased/>
  <w15:docId w15:val="{77D2567C-B507-42C4-AA23-1A2D3DC7A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78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59578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9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 Jun</dc:creator>
  <cp:keywords/>
  <dc:description/>
  <cp:lastModifiedBy>Tomi Jun</cp:lastModifiedBy>
  <cp:revision>2</cp:revision>
  <dcterms:created xsi:type="dcterms:W3CDTF">2021-03-06T00:14:00Z</dcterms:created>
  <dcterms:modified xsi:type="dcterms:W3CDTF">2021-03-06T19:53:00Z</dcterms:modified>
</cp:coreProperties>
</file>