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73B2" w:rsidRPr="00327D36" w:rsidRDefault="001F73B2" w:rsidP="001F73B2">
      <w:pPr>
        <w:spacing w:line="48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27D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Supplemental Figures</w:t>
      </w:r>
    </w:p>
    <w:p w:rsidR="001F73B2" w:rsidRPr="00327D36" w:rsidRDefault="001F73B2" w:rsidP="001F73B2">
      <w:pPr>
        <w:spacing w:line="48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27D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Fig. S1. The pL2 mouse model mimics human BE pathology. </w:t>
      </w:r>
      <w:r w:rsidRPr="00327D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(A) Experimental scheme illustrating </w:t>
      </w:r>
      <w:proofErr w:type="spellStart"/>
      <w:r w:rsidRPr="00327D36">
        <w:rPr>
          <w:rFonts w:ascii="Times New Roman" w:hAnsi="Times New Roman" w:cs="Times New Roman"/>
          <w:color w:val="000000" w:themeColor="text1"/>
          <w:sz w:val="28"/>
          <w:szCs w:val="28"/>
        </w:rPr>
        <w:t>timepoints</w:t>
      </w:r>
      <w:proofErr w:type="spellEnd"/>
      <w:r w:rsidRPr="00327D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of </w:t>
      </w:r>
      <w:proofErr w:type="spellStart"/>
      <w:r w:rsidRPr="00327D36">
        <w:rPr>
          <w:rFonts w:ascii="Times New Roman" w:hAnsi="Times New Roman" w:cs="Times New Roman"/>
          <w:color w:val="000000" w:themeColor="text1"/>
          <w:sz w:val="28"/>
          <w:szCs w:val="28"/>
        </w:rPr>
        <w:t>tamoxifen</w:t>
      </w:r>
      <w:proofErr w:type="spellEnd"/>
      <w:r w:rsidRPr="00327D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induction and tissue collection for analysis. (B) Representative H&amp;E pictures of the SCJ of WT and pL2.Dclk1 mice, respectively; for pL2.Dclk1, at 6+3 and 6+6 the same pictures are shown as in Fig. 1B for comparison to WT; scale bars=200µm. (C) </w:t>
      </w:r>
      <w:proofErr w:type="spellStart"/>
      <w:r w:rsidRPr="00327D36">
        <w:rPr>
          <w:rFonts w:ascii="Times New Roman" w:hAnsi="Times New Roman" w:cs="Times New Roman"/>
          <w:color w:val="000000" w:themeColor="text1"/>
          <w:sz w:val="28"/>
          <w:szCs w:val="28"/>
        </w:rPr>
        <w:t>Histopathologic</w:t>
      </w:r>
      <w:proofErr w:type="spellEnd"/>
      <w:r w:rsidRPr="00327D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scoring in pL2.Dclk1 compared to WT controls for metaplasia (6+3 n=5 WT, n=6 pL2.Dclk1 mice, ordinary two-way ANOVA, p=&lt;0.0001; 6+6 n=6 WT, n=5 pL2.Dclk1 mice, ordinary two-way ANOVA, p=&lt;0.0001; 6+9 n=4 WT, n=8 pL2.Dclk1 mice, ordinary two-way ANOVA, p=0.0001) and dysplasia (6+3 n=5 WT, n=6 pL2.Dclk1 mice, ordinary two-way ANOVA, p=0.038; 6+6 n=6 WT, n=5 pL2.Dclk1 mice; 6+9 n=4 WT, n=8 pL2.Dclk1 mice). (D) </w:t>
      </w:r>
      <w:proofErr w:type="spellStart"/>
      <w:r w:rsidRPr="00327D36">
        <w:rPr>
          <w:rFonts w:ascii="Times New Roman" w:hAnsi="Times New Roman" w:cs="Times New Roman"/>
          <w:color w:val="000000" w:themeColor="text1"/>
          <w:sz w:val="28"/>
          <w:szCs w:val="28"/>
        </w:rPr>
        <w:t>Histopathologic</w:t>
      </w:r>
      <w:proofErr w:type="spellEnd"/>
      <w:r w:rsidRPr="00327D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scoring in pL2.Dclk1 tissues compared to WT controls for acute inflammation (6+3 n=5 WT, n=6 pL2.Dclk1 mice, ordinary two-way ANOVA, p=0.0005; 6+6 n=6 WT, n=6 pL2.Dclk1 mice, ordinary two-way ANOVA, p=0.001; 6+9 n=4 WT, n=8 pL2.Dclk1 mice, ordinary two-way ANOVA, p=0.002). (E) Survival analysis of pL2.Dclk1 mice compared to WT controls (n=25 WT; n=31 pL2.Dclk1; Median survival WT and pL2.Dclk1=&gt;10 months; log-rank (Mantel-Cox) test, Chi square=8.745, p=0.0031). (F) Weight analyses of pL2.Dclk1 mice compared to WT controls showed substantial decreases in overall weight in both male and female mice (male total n=6 WT; </w:t>
      </w:r>
      <w:r w:rsidRPr="00327D3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total n=26 pL2.Dclk1; female total n=17 WT; total n=17 pL2.Dclk1); error bars indicate SEM.</w:t>
      </w:r>
    </w:p>
    <w:p w:rsidR="001F73B2" w:rsidRPr="00327D36" w:rsidRDefault="001F73B2" w:rsidP="001F73B2">
      <w:pPr>
        <w:spacing w:line="48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F73B2" w:rsidRPr="00327D36" w:rsidRDefault="001F73B2" w:rsidP="001F73B2">
      <w:pPr>
        <w:spacing w:line="48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27D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Fig. S2. </w:t>
      </w:r>
      <w:proofErr w:type="spellStart"/>
      <w:r w:rsidRPr="00327D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Tamoxifen</w:t>
      </w:r>
      <w:proofErr w:type="spellEnd"/>
      <w:r w:rsidRPr="00327D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administration induces expansion of DCLK1-positive tuft cells.</w:t>
      </w:r>
      <w:r w:rsidRPr="00327D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(A) Representative </w:t>
      </w:r>
      <w:proofErr w:type="gramStart"/>
      <w:r w:rsidRPr="00327D36">
        <w:rPr>
          <w:rFonts w:ascii="Times New Roman" w:hAnsi="Times New Roman" w:cs="Times New Roman"/>
          <w:color w:val="000000" w:themeColor="text1"/>
          <w:sz w:val="28"/>
          <w:szCs w:val="28"/>
        </w:rPr>
        <w:t>stainings</w:t>
      </w:r>
      <w:proofErr w:type="gramEnd"/>
      <w:r w:rsidRPr="00327D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for DCLK1 of the SCJ of pL2-IL1b and pL2.Dclk1 mice, respectively; scale bars=200µm; insets scale bar=50µm. (B) Quantification of DCLK1 staining in pL2.Dclk1 tissues compared to pL2-IL1b controls (n=3 pL2-IL1b 9mo, n=3 pL2.Dclk1 6+3 mice, unpaired t test, p=0.047). (C) Representative stainings for Notch2-IC stained nuclei of the SCJ of pL2-IL1b and pL2.Dclk1 mice, respectively; scale bars=200µm; insets scale bar=50µm. (D) Quantification of Notch2-IC staining in pL2.Dclk1 tissues compared to pL2-IL1b controls (n=3 pL2-IL1b 9mo, n=3 pL2.Dclk1 6+3 mice); error bars indicate SEM.</w:t>
      </w:r>
    </w:p>
    <w:p w:rsidR="001F73B2" w:rsidRPr="00327D36" w:rsidRDefault="001F73B2" w:rsidP="001F73B2">
      <w:pPr>
        <w:spacing w:line="48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F73B2" w:rsidRPr="00327D36" w:rsidRDefault="001F73B2" w:rsidP="001F73B2">
      <w:pPr>
        <w:spacing w:line="48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27D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Fig. S3. Notch activation in Dclk1-positive gastric tuft cells accelerates BE development.</w:t>
      </w:r>
      <w:r w:rsidRPr="00327D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(A) Analysis of Notch2 mRNA expression in pL2.Dclk1.N2IC tissues compared to pL2.Dclk1 controls (n=8 pL2.Dclk1.N2IC 6+6; n=7 pL2.Dclk1 6+6 controls; Wilcoxon matched-pairs signed rank test, p=0.016). (B) Representative staining for </w:t>
      </w:r>
      <w:proofErr w:type="spellStart"/>
      <w:r w:rsidRPr="00327D36">
        <w:rPr>
          <w:rFonts w:ascii="Times New Roman" w:hAnsi="Times New Roman" w:cs="Times New Roman"/>
          <w:color w:val="000000" w:themeColor="text1"/>
          <w:sz w:val="28"/>
          <w:szCs w:val="28"/>
        </w:rPr>
        <w:t>LacZ</w:t>
      </w:r>
      <w:proofErr w:type="spellEnd"/>
      <w:r w:rsidRPr="00327D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of the SCJ of Dclk1-CreERT2; R26-LacZ control mice; scale bar=100µm. (C) Representative stainings for </w:t>
      </w:r>
      <w:proofErr w:type="spellStart"/>
      <w:r w:rsidRPr="00327D36">
        <w:rPr>
          <w:rFonts w:ascii="Times New Roman" w:hAnsi="Times New Roman" w:cs="Times New Roman"/>
          <w:color w:val="000000" w:themeColor="text1"/>
          <w:sz w:val="28"/>
          <w:szCs w:val="28"/>
        </w:rPr>
        <w:t>LacZ</w:t>
      </w:r>
      <w:proofErr w:type="spellEnd"/>
      <w:r w:rsidRPr="00327D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of the SCJ of induced pL2.Dclk1.LacZ and pL2.Dclk1.N2IC.LacZ mice, respectively; dashed line indicates SCJ, scale bar=200µm. (D) Representative co-stainings for DCLK1 and Ki67 of the SCJ of induced pL2.Dclk1 (6+3) and pL2.Dclk1.N2IC (6+6) mice, respectively; white arrowheads show positive overlap near the SCJ (delineated by dashed line); scale bars=100µm. (E) Representative staining for DCLK1 in a Lgr5-EGFP-IRES-CreERT2 reporter mouse shows no positive overlap near the SCJ (delineated by dashed line); scale bar=100µm. (F) Weight analyses of pL2.Dclk1.N2IC compared to pL2.Dclk1 controls showed substantial decreases in overall weight in both male and female mice (male total n=31 pL2.Dclk1.N2IC; total n=26 pL2.Dclk1 controls; female total n=38 pL2.Dclk1.N2IC; total n=17 pL2.Dclk1 controls). (G) </w:t>
      </w:r>
      <w:proofErr w:type="spellStart"/>
      <w:r w:rsidRPr="00327D36">
        <w:rPr>
          <w:rFonts w:ascii="Times New Roman" w:hAnsi="Times New Roman" w:cs="Times New Roman"/>
          <w:color w:val="000000" w:themeColor="text1"/>
          <w:sz w:val="28"/>
          <w:szCs w:val="28"/>
        </w:rPr>
        <w:t>Histopathologic</w:t>
      </w:r>
      <w:proofErr w:type="spellEnd"/>
      <w:r w:rsidRPr="00327D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scoring in pL2.Dclk1.N2IC mice compared to pL2.Dclk1 controls for acute inflammation (6+3 n=7 pL2.Dclk1, n=25 pL2.Dclk1.N2IC mice; 6+6 n=6 pL2.Dclk1, n=8 pL2.Dclk1.N2IC mice); error bars indicate SEM.</w:t>
      </w:r>
    </w:p>
    <w:p w:rsidR="001F73B2" w:rsidRPr="00327D36" w:rsidRDefault="001F73B2" w:rsidP="001F73B2">
      <w:pPr>
        <w:spacing w:line="48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F73B2" w:rsidRPr="00327D36" w:rsidRDefault="001F73B2" w:rsidP="001F73B2">
      <w:pPr>
        <w:spacing w:line="48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27D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Fig. S4. Genetic ablation of the Notch 2 receptor in Dclk1-positive gastric cells decelerates BE development.</w:t>
      </w:r>
      <w:r w:rsidRPr="00327D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(A) Representative macroscopic pictures of the opened stomach of pL2.Dclk1 and pL2.Dclk1.N2fl mice, respectively; scale bars=0.5cm. (B) Macroscopic scoring in pL2.Dclk1.N2fl mice compared to pL2.Dclk1 controls (6+3 n=36 pL2.Dclk1.N2fl, n=14 pL2.Dclk1 controls; 6+6 n=32 pL2.Dclk1.N2fl, n=8 pL2.Dclk1 controls; 6+9 n=8 pL2.Dclk1.N2fl, n=12 pL2.Dclk1 controls, ordinary two-way ANOVA, p=0.024). (C) Representative </w:t>
      </w:r>
      <w:proofErr w:type="gramStart"/>
      <w:r w:rsidRPr="00327D36">
        <w:rPr>
          <w:rFonts w:ascii="Times New Roman" w:hAnsi="Times New Roman" w:cs="Times New Roman"/>
          <w:color w:val="000000" w:themeColor="text1"/>
          <w:sz w:val="28"/>
          <w:szCs w:val="28"/>
        </w:rPr>
        <w:t>stainings</w:t>
      </w:r>
      <w:proofErr w:type="gramEnd"/>
      <w:r w:rsidRPr="00327D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for DCLK1 of the SCJ of pL2.Dclk1 and pL2.Dclk1.N2fl mice, respectively, and quantification of DCLK1 staining (n=3 pL2.Dclk1, n=3 pL2.Dclk1.N2fl mice); for pL2.Dclk1, the same image and quantification data is shown as in Fig. S2A and B for comparison to pL2.Dclk1.N2fl tissue; scale bars=200µm; insets scale bar=50µm. (D) </w:t>
      </w:r>
      <w:proofErr w:type="spellStart"/>
      <w:r w:rsidRPr="00327D36">
        <w:rPr>
          <w:rFonts w:ascii="Times New Roman" w:hAnsi="Times New Roman" w:cs="Times New Roman"/>
          <w:color w:val="000000" w:themeColor="text1"/>
          <w:sz w:val="28"/>
          <w:szCs w:val="28"/>
        </w:rPr>
        <w:t>Histopathologic</w:t>
      </w:r>
      <w:proofErr w:type="spellEnd"/>
      <w:r w:rsidRPr="00327D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scoring in pL2.Dclk1.N2fl mice compared to pL2.Dclk1 controls for metaplasia (6+3 n=6 pL2.Dclk1.N2fl, n=7 pL2.Dclk1 controls; 6+6 n=9 pL2.Dclk1.N2fl, n=5 pL2.Dclk1 controls; 6+9 n=6 pL2.Dclk1.N2fl, n=8 pL2.Dclk1 controls) and dysplasia (6+3 n=6 pL2.Dclk1.N2fl, n=7 pL2.Dclk1 controls; 6+6 n=8 pL2.Dclk1.N2fl, n=5 pL2.Dclk1 controls; 6+9 n=6 pL2.Dclk1.N2fl, n=8 pL2.Dclk1 controls). (E) Survival analysis of pL2.Dclk1 controls compared to pL2.Dclk1.N2fl mice (n=31 pL2.Dclk1; n=41 pL2.Dclk1.N2fl; Median survival pL2.Dclk1 and pL2.Dclk1.N2fl=&gt;10 months). (F) Representative pictures of </w:t>
      </w:r>
      <w:proofErr w:type="spellStart"/>
      <w:r w:rsidRPr="00327D36">
        <w:rPr>
          <w:rFonts w:ascii="Times New Roman" w:hAnsi="Times New Roman" w:cs="Times New Roman"/>
          <w:color w:val="000000" w:themeColor="text1"/>
          <w:sz w:val="28"/>
          <w:szCs w:val="28"/>
        </w:rPr>
        <w:t>cardia</w:t>
      </w:r>
      <w:proofErr w:type="spellEnd"/>
      <w:r w:rsidRPr="00327D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27D36">
        <w:rPr>
          <w:rFonts w:ascii="Times New Roman" w:hAnsi="Times New Roman" w:cs="Times New Roman"/>
          <w:color w:val="000000" w:themeColor="text1"/>
          <w:sz w:val="28"/>
          <w:szCs w:val="28"/>
        </w:rPr>
        <w:t>organoids</w:t>
      </w:r>
      <w:proofErr w:type="spellEnd"/>
      <w:r w:rsidRPr="00327D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of pL2.Dclk1.N2IC mice stained for Notch2-IC; pL2.Dclk1.N2IC DMSO scale bar=50µm, pL2.Dclk1.N2IC DAPT scale bar=100µm; error bars indicate SEM.</w:t>
      </w:r>
    </w:p>
    <w:p w:rsidR="001F73B2" w:rsidRPr="00327D36" w:rsidRDefault="001F73B2" w:rsidP="001F73B2">
      <w:pPr>
        <w:spacing w:line="48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F73B2" w:rsidRPr="00327D36" w:rsidRDefault="001F73B2" w:rsidP="001F73B2">
      <w:pPr>
        <w:spacing w:line="48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27D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Fig. S5. Notch signaling in Dclk1-positive tuft cells modulates intracellular c-</w:t>
      </w:r>
      <w:proofErr w:type="spellStart"/>
      <w:r w:rsidRPr="00327D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Myc</w:t>
      </w:r>
      <w:proofErr w:type="spellEnd"/>
      <w:r w:rsidRPr="00327D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and Beta Catenin signaling.</w:t>
      </w:r>
      <w:r w:rsidRPr="00327D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(A) Representative </w:t>
      </w:r>
      <w:proofErr w:type="gramStart"/>
      <w:r w:rsidRPr="00327D36">
        <w:rPr>
          <w:rFonts w:ascii="Times New Roman" w:hAnsi="Times New Roman" w:cs="Times New Roman"/>
          <w:color w:val="000000" w:themeColor="text1"/>
          <w:sz w:val="28"/>
          <w:szCs w:val="28"/>
        </w:rPr>
        <w:t>stainings</w:t>
      </w:r>
      <w:proofErr w:type="gramEnd"/>
      <w:r w:rsidRPr="00327D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for c-</w:t>
      </w:r>
      <w:proofErr w:type="spellStart"/>
      <w:r w:rsidRPr="00327D36">
        <w:rPr>
          <w:rFonts w:ascii="Times New Roman" w:hAnsi="Times New Roman" w:cs="Times New Roman"/>
          <w:color w:val="000000" w:themeColor="text1"/>
          <w:sz w:val="28"/>
          <w:szCs w:val="28"/>
        </w:rPr>
        <w:t>Myc</w:t>
      </w:r>
      <w:proofErr w:type="spellEnd"/>
      <w:r w:rsidRPr="00327D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of the SCJ of pL2-IL1b and pL2.Dclk1.N2IC mice, respectively; scale bar=100µm. (B) Representative stainings for Beta Catenin of the SCJ of pL2-IL1b and pL2.Dclk1.N2fl mice, respectively; scale bar=100µm; dashed line delineates SCJ.</w:t>
      </w:r>
    </w:p>
    <w:p w:rsidR="001359EB" w:rsidRDefault="001359EB">
      <w:bookmarkStart w:id="0" w:name="_GoBack"/>
      <w:bookmarkEnd w:id="0"/>
    </w:p>
    <w:sectPr w:rsidR="001359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8F7"/>
    <w:rsid w:val="00003A69"/>
    <w:rsid w:val="00004A5A"/>
    <w:rsid w:val="000056D6"/>
    <w:rsid w:val="00005E81"/>
    <w:rsid w:val="000104FF"/>
    <w:rsid w:val="00011132"/>
    <w:rsid w:val="00013532"/>
    <w:rsid w:val="00016313"/>
    <w:rsid w:val="0002075E"/>
    <w:rsid w:val="0002085F"/>
    <w:rsid w:val="000223F6"/>
    <w:rsid w:val="00026B57"/>
    <w:rsid w:val="000316E0"/>
    <w:rsid w:val="00031B8C"/>
    <w:rsid w:val="00033E57"/>
    <w:rsid w:val="00042FBA"/>
    <w:rsid w:val="00047558"/>
    <w:rsid w:val="00050E38"/>
    <w:rsid w:val="000512A3"/>
    <w:rsid w:val="00054E6B"/>
    <w:rsid w:val="00056EA7"/>
    <w:rsid w:val="0006394F"/>
    <w:rsid w:val="00064919"/>
    <w:rsid w:val="00066278"/>
    <w:rsid w:val="00067957"/>
    <w:rsid w:val="00070F18"/>
    <w:rsid w:val="00076BBD"/>
    <w:rsid w:val="00077AB6"/>
    <w:rsid w:val="000830D9"/>
    <w:rsid w:val="0008449D"/>
    <w:rsid w:val="000846C0"/>
    <w:rsid w:val="00085EA9"/>
    <w:rsid w:val="00086659"/>
    <w:rsid w:val="00087462"/>
    <w:rsid w:val="00092873"/>
    <w:rsid w:val="00094EE8"/>
    <w:rsid w:val="000961E5"/>
    <w:rsid w:val="00096A01"/>
    <w:rsid w:val="00096E18"/>
    <w:rsid w:val="000A482E"/>
    <w:rsid w:val="000A57D3"/>
    <w:rsid w:val="000A6B3C"/>
    <w:rsid w:val="000B0F1C"/>
    <w:rsid w:val="000B1D87"/>
    <w:rsid w:val="000B2CC6"/>
    <w:rsid w:val="000B3550"/>
    <w:rsid w:val="000B6CBD"/>
    <w:rsid w:val="000B7642"/>
    <w:rsid w:val="000C1BCA"/>
    <w:rsid w:val="000D323B"/>
    <w:rsid w:val="000D45BE"/>
    <w:rsid w:val="000E12D9"/>
    <w:rsid w:val="000E1544"/>
    <w:rsid w:val="000E173B"/>
    <w:rsid w:val="000E2548"/>
    <w:rsid w:val="000E296A"/>
    <w:rsid w:val="000E33E7"/>
    <w:rsid w:val="000E616B"/>
    <w:rsid w:val="000E6AE6"/>
    <w:rsid w:val="000F0D18"/>
    <w:rsid w:val="000F1862"/>
    <w:rsid w:val="000F5236"/>
    <w:rsid w:val="000F5C26"/>
    <w:rsid w:val="000F6BB3"/>
    <w:rsid w:val="000F7444"/>
    <w:rsid w:val="001004E7"/>
    <w:rsid w:val="0010075B"/>
    <w:rsid w:val="0010190F"/>
    <w:rsid w:val="00103231"/>
    <w:rsid w:val="00103386"/>
    <w:rsid w:val="00104CBD"/>
    <w:rsid w:val="001059AB"/>
    <w:rsid w:val="001105E9"/>
    <w:rsid w:val="0011433A"/>
    <w:rsid w:val="00114D0F"/>
    <w:rsid w:val="001153C1"/>
    <w:rsid w:val="001164C2"/>
    <w:rsid w:val="001167FD"/>
    <w:rsid w:val="00122A9F"/>
    <w:rsid w:val="0013090B"/>
    <w:rsid w:val="00130E03"/>
    <w:rsid w:val="001359EB"/>
    <w:rsid w:val="0014383F"/>
    <w:rsid w:val="0014428A"/>
    <w:rsid w:val="00146090"/>
    <w:rsid w:val="001465B7"/>
    <w:rsid w:val="0014691C"/>
    <w:rsid w:val="00147375"/>
    <w:rsid w:val="00151738"/>
    <w:rsid w:val="00152C03"/>
    <w:rsid w:val="00153840"/>
    <w:rsid w:val="00155585"/>
    <w:rsid w:val="00162E26"/>
    <w:rsid w:val="00164DF7"/>
    <w:rsid w:val="001657AD"/>
    <w:rsid w:val="0017650F"/>
    <w:rsid w:val="00176B12"/>
    <w:rsid w:val="00177903"/>
    <w:rsid w:val="00177E1D"/>
    <w:rsid w:val="00177EB2"/>
    <w:rsid w:val="001802AB"/>
    <w:rsid w:val="00191203"/>
    <w:rsid w:val="001917FF"/>
    <w:rsid w:val="0019611F"/>
    <w:rsid w:val="001963F2"/>
    <w:rsid w:val="00197546"/>
    <w:rsid w:val="001A1DBA"/>
    <w:rsid w:val="001A41AE"/>
    <w:rsid w:val="001A624D"/>
    <w:rsid w:val="001A7B50"/>
    <w:rsid w:val="001A7B99"/>
    <w:rsid w:val="001B00AB"/>
    <w:rsid w:val="001B1233"/>
    <w:rsid w:val="001B328F"/>
    <w:rsid w:val="001B6E1D"/>
    <w:rsid w:val="001C1B8D"/>
    <w:rsid w:val="001C41A4"/>
    <w:rsid w:val="001C4A40"/>
    <w:rsid w:val="001C55FF"/>
    <w:rsid w:val="001D2C5C"/>
    <w:rsid w:val="001D5329"/>
    <w:rsid w:val="001D7F37"/>
    <w:rsid w:val="001E7604"/>
    <w:rsid w:val="001F4AA5"/>
    <w:rsid w:val="001F5BA7"/>
    <w:rsid w:val="001F73B2"/>
    <w:rsid w:val="001F756E"/>
    <w:rsid w:val="001F7A26"/>
    <w:rsid w:val="00200F4D"/>
    <w:rsid w:val="002040AE"/>
    <w:rsid w:val="00204C2E"/>
    <w:rsid w:val="002104CF"/>
    <w:rsid w:val="00211CC9"/>
    <w:rsid w:val="00211EEE"/>
    <w:rsid w:val="00217C3F"/>
    <w:rsid w:val="0022121E"/>
    <w:rsid w:val="00225B1F"/>
    <w:rsid w:val="00225B95"/>
    <w:rsid w:val="00230149"/>
    <w:rsid w:val="00230E82"/>
    <w:rsid w:val="002408F9"/>
    <w:rsid w:val="0024204E"/>
    <w:rsid w:val="00242F77"/>
    <w:rsid w:val="002472C6"/>
    <w:rsid w:val="00250A50"/>
    <w:rsid w:val="00253B60"/>
    <w:rsid w:val="002550F8"/>
    <w:rsid w:val="002551E4"/>
    <w:rsid w:val="00255296"/>
    <w:rsid w:val="00255616"/>
    <w:rsid w:val="00257C81"/>
    <w:rsid w:val="0026012C"/>
    <w:rsid w:val="002614AE"/>
    <w:rsid w:val="00264967"/>
    <w:rsid w:val="00270263"/>
    <w:rsid w:val="00273A28"/>
    <w:rsid w:val="00274501"/>
    <w:rsid w:val="00275D0F"/>
    <w:rsid w:val="0028508E"/>
    <w:rsid w:val="00290B88"/>
    <w:rsid w:val="0029265C"/>
    <w:rsid w:val="002A0325"/>
    <w:rsid w:val="002A1B39"/>
    <w:rsid w:val="002A61E3"/>
    <w:rsid w:val="002B0070"/>
    <w:rsid w:val="002B05E7"/>
    <w:rsid w:val="002B213B"/>
    <w:rsid w:val="002B713F"/>
    <w:rsid w:val="002C1396"/>
    <w:rsid w:val="002C2C9C"/>
    <w:rsid w:val="002C39FB"/>
    <w:rsid w:val="002C3E15"/>
    <w:rsid w:val="002C59D9"/>
    <w:rsid w:val="002C6582"/>
    <w:rsid w:val="002D0237"/>
    <w:rsid w:val="002D1DD9"/>
    <w:rsid w:val="002D3D51"/>
    <w:rsid w:val="002E0DA9"/>
    <w:rsid w:val="002E0E19"/>
    <w:rsid w:val="002E428E"/>
    <w:rsid w:val="002E4640"/>
    <w:rsid w:val="002E7127"/>
    <w:rsid w:val="002F0937"/>
    <w:rsid w:val="002F0FD9"/>
    <w:rsid w:val="002F1F40"/>
    <w:rsid w:val="002F3373"/>
    <w:rsid w:val="002F593C"/>
    <w:rsid w:val="002F755C"/>
    <w:rsid w:val="002F7A29"/>
    <w:rsid w:val="003007EC"/>
    <w:rsid w:val="00301700"/>
    <w:rsid w:val="003044A3"/>
    <w:rsid w:val="00305927"/>
    <w:rsid w:val="00310674"/>
    <w:rsid w:val="003152E2"/>
    <w:rsid w:val="00317525"/>
    <w:rsid w:val="00324011"/>
    <w:rsid w:val="00324530"/>
    <w:rsid w:val="003274C8"/>
    <w:rsid w:val="00330493"/>
    <w:rsid w:val="00332857"/>
    <w:rsid w:val="00340A62"/>
    <w:rsid w:val="003427DB"/>
    <w:rsid w:val="003474DA"/>
    <w:rsid w:val="00347A95"/>
    <w:rsid w:val="003505C6"/>
    <w:rsid w:val="0035140D"/>
    <w:rsid w:val="00353659"/>
    <w:rsid w:val="00355CD6"/>
    <w:rsid w:val="003561A2"/>
    <w:rsid w:val="00356243"/>
    <w:rsid w:val="00356474"/>
    <w:rsid w:val="003577C8"/>
    <w:rsid w:val="003704E9"/>
    <w:rsid w:val="003707A8"/>
    <w:rsid w:val="0037114A"/>
    <w:rsid w:val="00371833"/>
    <w:rsid w:val="00372516"/>
    <w:rsid w:val="00374C2A"/>
    <w:rsid w:val="003764B9"/>
    <w:rsid w:val="00376CB6"/>
    <w:rsid w:val="0037781F"/>
    <w:rsid w:val="00381239"/>
    <w:rsid w:val="00390270"/>
    <w:rsid w:val="003954FA"/>
    <w:rsid w:val="003A42E3"/>
    <w:rsid w:val="003B04AF"/>
    <w:rsid w:val="003B0BC1"/>
    <w:rsid w:val="003B13D1"/>
    <w:rsid w:val="003B2289"/>
    <w:rsid w:val="003B3148"/>
    <w:rsid w:val="003B5B14"/>
    <w:rsid w:val="003C003D"/>
    <w:rsid w:val="003C1FDD"/>
    <w:rsid w:val="003C3064"/>
    <w:rsid w:val="003C3C5F"/>
    <w:rsid w:val="003C486B"/>
    <w:rsid w:val="003C4E7B"/>
    <w:rsid w:val="003C5009"/>
    <w:rsid w:val="003D266B"/>
    <w:rsid w:val="003D2694"/>
    <w:rsid w:val="003D5050"/>
    <w:rsid w:val="003D7968"/>
    <w:rsid w:val="003E20D5"/>
    <w:rsid w:val="00402761"/>
    <w:rsid w:val="00405EB0"/>
    <w:rsid w:val="00406207"/>
    <w:rsid w:val="004068CA"/>
    <w:rsid w:val="004074CD"/>
    <w:rsid w:val="00411224"/>
    <w:rsid w:val="00412B9F"/>
    <w:rsid w:val="0041388A"/>
    <w:rsid w:val="00416C90"/>
    <w:rsid w:val="0042085D"/>
    <w:rsid w:val="0042298C"/>
    <w:rsid w:val="00423284"/>
    <w:rsid w:val="00425DEC"/>
    <w:rsid w:val="004344CF"/>
    <w:rsid w:val="00437AF8"/>
    <w:rsid w:val="00441BF6"/>
    <w:rsid w:val="004443BE"/>
    <w:rsid w:val="004474FA"/>
    <w:rsid w:val="0045232E"/>
    <w:rsid w:val="0046163A"/>
    <w:rsid w:val="00462274"/>
    <w:rsid w:val="004624CD"/>
    <w:rsid w:val="00463457"/>
    <w:rsid w:val="00464AAF"/>
    <w:rsid w:val="004650FE"/>
    <w:rsid w:val="0046748D"/>
    <w:rsid w:val="00476F95"/>
    <w:rsid w:val="004808F5"/>
    <w:rsid w:val="00481B71"/>
    <w:rsid w:val="00482224"/>
    <w:rsid w:val="004900DB"/>
    <w:rsid w:val="00490F89"/>
    <w:rsid w:val="00492B95"/>
    <w:rsid w:val="004A214A"/>
    <w:rsid w:val="004A4419"/>
    <w:rsid w:val="004A7085"/>
    <w:rsid w:val="004B2AC6"/>
    <w:rsid w:val="004B2F0B"/>
    <w:rsid w:val="004B75B3"/>
    <w:rsid w:val="004B7C04"/>
    <w:rsid w:val="004C51CF"/>
    <w:rsid w:val="004C5AFA"/>
    <w:rsid w:val="004D172C"/>
    <w:rsid w:val="004D365C"/>
    <w:rsid w:val="004D3AC7"/>
    <w:rsid w:val="004D72C3"/>
    <w:rsid w:val="004E0827"/>
    <w:rsid w:val="004E185C"/>
    <w:rsid w:val="004E40B1"/>
    <w:rsid w:val="004E6DD5"/>
    <w:rsid w:val="004F24E4"/>
    <w:rsid w:val="004F272E"/>
    <w:rsid w:val="004F54D0"/>
    <w:rsid w:val="004F553E"/>
    <w:rsid w:val="004F55AB"/>
    <w:rsid w:val="004F7638"/>
    <w:rsid w:val="005005EB"/>
    <w:rsid w:val="0050254D"/>
    <w:rsid w:val="00506209"/>
    <w:rsid w:val="00507378"/>
    <w:rsid w:val="0051384B"/>
    <w:rsid w:val="005143F6"/>
    <w:rsid w:val="00515F59"/>
    <w:rsid w:val="005230FE"/>
    <w:rsid w:val="00524E4B"/>
    <w:rsid w:val="005273FB"/>
    <w:rsid w:val="00531759"/>
    <w:rsid w:val="00531ECD"/>
    <w:rsid w:val="005333B7"/>
    <w:rsid w:val="00533711"/>
    <w:rsid w:val="00534C15"/>
    <w:rsid w:val="005414C5"/>
    <w:rsid w:val="00542B56"/>
    <w:rsid w:val="005549A7"/>
    <w:rsid w:val="005574A0"/>
    <w:rsid w:val="005577D6"/>
    <w:rsid w:val="005606AB"/>
    <w:rsid w:val="00563BD6"/>
    <w:rsid w:val="00564C8C"/>
    <w:rsid w:val="005708AA"/>
    <w:rsid w:val="00572A0C"/>
    <w:rsid w:val="00576BF9"/>
    <w:rsid w:val="0059193C"/>
    <w:rsid w:val="00595729"/>
    <w:rsid w:val="005A0C2C"/>
    <w:rsid w:val="005A12AB"/>
    <w:rsid w:val="005A5390"/>
    <w:rsid w:val="005A6CC7"/>
    <w:rsid w:val="005A7E0C"/>
    <w:rsid w:val="005B05EB"/>
    <w:rsid w:val="005B4C47"/>
    <w:rsid w:val="005B6560"/>
    <w:rsid w:val="005B7234"/>
    <w:rsid w:val="005B7C18"/>
    <w:rsid w:val="005C0389"/>
    <w:rsid w:val="005C13EB"/>
    <w:rsid w:val="005C449A"/>
    <w:rsid w:val="005C48CF"/>
    <w:rsid w:val="005C5E1A"/>
    <w:rsid w:val="005C63A0"/>
    <w:rsid w:val="005C65E0"/>
    <w:rsid w:val="005C6FCA"/>
    <w:rsid w:val="005C744F"/>
    <w:rsid w:val="005D137B"/>
    <w:rsid w:val="005D17D1"/>
    <w:rsid w:val="005D1910"/>
    <w:rsid w:val="005D1C39"/>
    <w:rsid w:val="005D6FA1"/>
    <w:rsid w:val="005E1B8B"/>
    <w:rsid w:val="005E3008"/>
    <w:rsid w:val="005E5BEA"/>
    <w:rsid w:val="005E7120"/>
    <w:rsid w:val="005E76FA"/>
    <w:rsid w:val="00612361"/>
    <w:rsid w:val="00613512"/>
    <w:rsid w:val="00616C4A"/>
    <w:rsid w:val="00617499"/>
    <w:rsid w:val="006174F9"/>
    <w:rsid w:val="00626114"/>
    <w:rsid w:val="00626497"/>
    <w:rsid w:val="006264E5"/>
    <w:rsid w:val="006412CA"/>
    <w:rsid w:val="00641ECE"/>
    <w:rsid w:val="00641FC8"/>
    <w:rsid w:val="0064762F"/>
    <w:rsid w:val="00647B62"/>
    <w:rsid w:val="00650A6C"/>
    <w:rsid w:val="00653692"/>
    <w:rsid w:val="006553E6"/>
    <w:rsid w:val="00655DC5"/>
    <w:rsid w:val="00655E30"/>
    <w:rsid w:val="00660E2D"/>
    <w:rsid w:val="00662018"/>
    <w:rsid w:val="00663A9B"/>
    <w:rsid w:val="00665CF8"/>
    <w:rsid w:val="006670F7"/>
    <w:rsid w:val="00672564"/>
    <w:rsid w:val="00672D6F"/>
    <w:rsid w:val="0067513B"/>
    <w:rsid w:val="00683055"/>
    <w:rsid w:val="00684B57"/>
    <w:rsid w:val="00693326"/>
    <w:rsid w:val="0069531B"/>
    <w:rsid w:val="00697272"/>
    <w:rsid w:val="006978D2"/>
    <w:rsid w:val="006A03B8"/>
    <w:rsid w:val="006A22F1"/>
    <w:rsid w:val="006A236A"/>
    <w:rsid w:val="006A4DE9"/>
    <w:rsid w:val="006A55A3"/>
    <w:rsid w:val="006A66BD"/>
    <w:rsid w:val="006A6966"/>
    <w:rsid w:val="006A72B7"/>
    <w:rsid w:val="006B0C9A"/>
    <w:rsid w:val="006B31CB"/>
    <w:rsid w:val="006B328F"/>
    <w:rsid w:val="006B54D0"/>
    <w:rsid w:val="006C30BE"/>
    <w:rsid w:val="006C53C0"/>
    <w:rsid w:val="006C5F4F"/>
    <w:rsid w:val="006C64DA"/>
    <w:rsid w:val="006D69E2"/>
    <w:rsid w:val="006E1AFB"/>
    <w:rsid w:val="006E228F"/>
    <w:rsid w:val="006E2AF4"/>
    <w:rsid w:val="006E4CAF"/>
    <w:rsid w:val="006E5EE0"/>
    <w:rsid w:val="006E6E52"/>
    <w:rsid w:val="006E71F3"/>
    <w:rsid w:val="006F1C04"/>
    <w:rsid w:val="006F44EC"/>
    <w:rsid w:val="006F5A75"/>
    <w:rsid w:val="006F637D"/>
    <w:rsid w:val="006F7660"/>
    <w:rsid w:val="00700284"/>
    <w:rsid w:val="007016FB"/>
    <w:rsid w:val="00702E17"/>
    <w:rsid w:val="00711181"/>
    <w:rsid w:val="0072188E"/>
    <w:rsid w:val="00731F9F"/>
    <w:rsid w:val="007348A4"/>
    <w:rsid w:val="00736AF1"/>
    <w:rsid w:val="00740FCA"/>
    <w:rsid w:val="007413E7"/>
    <w:rsid w:val="00742A09"/>
    <w:rsid w:val="00744EC7"/>
    <w:rsid w:val="0074625C"/>
    <w:rsid w:val="00746C1C"/>
    <w:rsid w:val="007514CC"/>
    <w:rsid w:val="00755CBA"/>
    <w:rsid w:val="0076435C"/>
    <w:rsid w:val="00764AA5"/>
    <w:rsid w:val="0077098A"/>
    <w:rsid w:val="00772E9F"/>
    <w:rsid w:val="00773E6F"/>
    <w:rsid w:val="007865DD"/>
    <w:rsid w:val="007900CB"/>
    <w:rsid w:val="007908D9"/>
    <w:rsid w:val="00793B18"/>
    <w:rsid w:val="00794A46"/>
    <w:rsid w:val="007A21F0"/>
    <w:rsid w:val="007B1E1A"/>
    <w:rsid w:val="007B27E2"/>
    <w:rsid w:val="007B3380"/>
    <w:rsid w:val="007B6890"/>
    <w:rsid w:val="007C2FE1"/>
    <w:rsid w:val="007C3CEC"/>
    <w:rsid w:val="007D0A01"/>
    <w:rsid w:val="007D224E"/>
    <w:rsid w:val="007D2DA1"/>
    <w:rsid w:val="007D4C93"/>
    <w:rsid w:val="007E1D44"/>
    <w:rsid w:val="007E34FD"/>
    <w:rsid w:val="007E44DD"/>
    <w:rsid w:val="007E47B8"/>
    <w:rsid w:val="007E5889"/>
    <w:rsid w:val="007E7401"/>
    <w:rsid w:val="007E74EA"/>
    <w:rsid w:val="007F1F8D"/>
    <w:rsid w:val="007F2287"/>
    <w:rsid w:val="007F2FBE"/>
    <w:rsid w:val="00802F12"/>
    <w:rsid w:val="008036A1"/>
    <w:rsid w:val="008044FD"/>
    <w:rsid w:val="00805005"/>
    <w:rsid w:val="00805177"/>
    <w:rsid w:val="008056AD"/>
    <w:rsid w:val="00805FF6"/>
    <w:rsid w:val="00806F34"/>
    <w:rsid w:val="00812144"/>
    <w:rsid w:val="00812F03"/>
    <w:rsid w:val="00813F5E"/>
    <w:rsid w:val="00814693"/>
    <w:rsid w:val="00814749"/>
    <w:rsid w:val="00815F3C"/>
    <w:rsid w:val="00817B79"/>
    <w:rsid w:val="0082165D"/>
    <w:rsid w:val="0082666C"/>
    <w:rsid w:val="00832179"/>
    <w:rsid w:val="0084278F"/>
    <w:rsid w:val="008519D4"/>
    <w:rsid w:val="0085221F"/>
    <w:rsid w:val="00854A4A"/>
    <w:rsid w:val="00860133"/>
    <w:rsid w:val="008609CD"/>
    <w:rsid w:val="008613FB"/>
    <w:rsid w:val="00862D02"/>
    <w:rsid w:val="00862EA1"/>
    <w:rsid w:val="00863CC3"/>
    <w:rsid w:val="008654F4"/>
    <w:rsid w:val="0086742D"/>
    <w:rsid w:val="00872B21"/>
    <w:rsid w:val="0087575A"/>
    <w:rsid w:val="00876C30"/>
    <w:rsid w:val="00876F23"/>
    <w:rsid w:val="00884A7E"/>
    <w:rsid w:val="00884D09"/>
    <w:rsid w:val="00886EE1"/>
    <w:rsid w:val="00886FFC"/>
    <w:rsid w:val="008876DC"/>
    <w:rsid w:val="00893AA1"/>
    <w:rsid w:val="00895F9E"/>
    <w:rsid w:val="008A132C"/>
    <w:rsid w:val="008A1E77"/>
    <w:rsid w:val="008A3729"/>
    <w:rsid w:val="008B0376"/>
    <w:rsid w:val="008B1D6D"/>
    <w:rsid w:val="008B2FCB"/>
    <w:rsid w:val="008B3CAB"/>
    <w:rsid w:val="008B7C9E"/>
    <w:rsid w:val="008C1993"/>
    <w:rsid w:val="008C4CAD"/>
    <w:rsid w:val="008C5E30"/>
    <w:rsid w:val="008C5E35"/>
    <w:rsid w:val="008D10B5"/>
    <w:rsid w:val="008D5BA3"/>
    <w:rsid w:val="008E1DDA"/>
    <w:rsid w:val="008F0DF4"/>
    <w:rsid w:val="008F1B98"/>
    <w:rsid w:val="0090105A"/>
    <w:rsid w:val="009023E6"/>
    <w:rsid w:val="00903DD6"/>
    <w:rsid w:val="0090449D"/>
    <w:rsid w:val="00904C83"/>
    <w:rsid w:val="0090771E"/>
    <w:rsid w:val="0091104F"/>
    <w:rsid w:val="00916B9B"/>
    <w:rsid w:val="009203B1"/>
    <w:rsid w:val="00922413"/>
    <w:rsid w:val="00923145"/>
    <w:rsid w:val="00923E0B"/>
    <w:rsid w:val="00926C82"/>
    <w:rsid w:val="00940F46"/>
    <w:rsid w:val="0094285B"/>
    <w:rsid w:val="00942A5D"/>
    <w:rsid w:val="00944736"/>
    <w:rsid w:val="0095067B"/>
    <w:rsid w:val="00955D72"/>
    <w:rsid w:val="00955E31"/>
    <w:rsid w:val="00956A99"/>
    <w:rsid w:val="00956E8A"/>
    <w:rsid w:val="009608BD"/>
    <w:rsid w:val="00961CFA"/>
    <w:rsid w:val="00963BAE"/>
    <w:rsid w:val="00963D76"/>
    <w:rsid w:val="00963FE6"/>
    <w:rsid w:val="00966194"/>
    <w:rsid w:val="00972957"/>
    <w:rsid w:val="00972A47"/>
    <w:rsid w:val="009762D8"/>
    <w:rsid w:val="0097792F"/>
    <w:rsid w:val="009802B4"/>
    <w:rsid w:val="009804A2"/>
    <w:rsid w:val="00980A75"/>
    <w:rsid w:val="00981D98"/>
    <w:rsid w:val="00983174"/>
    <w:rsid w:val="009855DB"/>
    <w:rsid w:val="009876E1"/>
    <w:rsid w:val="0098786F"/>
    <w:rsid w:val="00992346"/>
    <w:rsid w:val="009A05DC"/>
    <w:rsid w:val="009A1B23"/>
    <w:rsid w:val="009B3998"/>
    <w:rsid w:val="009B4781"/>
    <w:rsid w:val="009B4F57"/>
    <w:rsid w:val="009C36C2"/>
    <w:rsid w:val="009C4ADD"/>
    <w:rsid w:val="009C4B02"/>
    <w:rsid w:val="009C5194"/>
    <w:rsid w:val="009C7073"/>
    <w:rsid w:val="009C7122"/>
    <w:rsid w:val="009C7522"/>
    <w:rsid w:val="009D271B"/>
    <w:rsid w:val="009D3515"/>
    <w:rsid w:val="009D418E"/>
    <w:rsid w:val="009D63D7"/>
    <w:rsid w:val="009E0428"/>
    <w:rsid w:val="009E5588"/>
    <w:rsid w:val="009E6A91"/>
    <w:rsid w:val="009F0146"/>
    <w:rsid w:val="009F1CDA"/>
    <w:rsid w:val="009F241B"/>
    <w:rsid w:val="009F2CF0"/>
    <w:rsid w:val="009F793B"/>
    <w:rsid w:val="00A011DD"/>
    <w:rsid w:val="00A05E6A"/>
    <w:rsid w:val="00A0649E"/>
    <w:rsid w:val="00A10F0C"/>
    <w:rsid w:val="00A119C0"/>
    <w:rsid w:val="00A123CA"/>
    <w:rsid w:val="00A143B7"/>
    <w:rsid w:val="00A144BB"/>
    <w:rsid w:val="00A17C92"/>
    <w:rsid w:val="00A207CF"/>
    <w:rsid w:val="00A25689"/>
    <w:rsid w:val="00A26AE0"/>
    <w:rsid w:val="00A27002"/>
    <w:rsid w:val="00A2746D"/>
    <w:rsid w:val="00A276E9"/>
    <w:rsid w:val="00A31841"/>
    <w:rsid w:val="00A33031"/>
    <w:rsid w:val="00A33BBC"/>
    <w:rsid w:val="00A41271"/>
    <w:rsid w:val="00A43649"/>
    <w:rsid w:val="00A44236"/>
    <w:rsid w:val="00A44346"/>
    <w:rsid w:val="00A453A4"/>
    <w:rsid w:val="00A4649E"/>
    <w:rsid w:val="00A473C9"/>
    <w:rsid w:val="00A47BBA"/>
    <w:rsid w:val="00A503EC"/>
    <w:rsid w:val="00A514C3"/>
    <w:rsid w:val="00A5592D"/>
    <w:rsid w:val="00A57A41"/>
    <w:rsid w:val="00A609D9"/>
    <w:rsid w:val="00A61308"/>
    <w:rsid w:val="00A617BC"/>
    <w:rsid w:val="00A672B1"/>
    <w:rsid w:val="00A808F4"/>
    <w:rsid w:val="00A81A2D"/>
    <w:rsid w:val="00A82F8A"/>
    <w:rsid w:val="00A83980"/>
    <w:rsid w:val="00A862C1"/>
    <w:rsid w:val="00A8769A"/>
    <w:rsid w:val="00A95A19"/>
    <w:rsid w:val="00A97B3D"/>
    <w:rsid w:val="00A97CAA"/>
    <w:rsid w:val="00A97FE1"/>
    <w:rsid w:val="00AA0E42"/>
    <w:rsid w:val="00AA2BD7"/>
    <w:rsid w:val="00AA2CD4"/>
    <w:rsid w:val="00AA3394"/>
    <w:rsid w:val="00AA4787"/>
    <w:rsid w:val="00AA64D6"/>
    <w:rsid w:val="00AA7FD1"/>
    <w:rsid w:val="00AB0835"/>
    <w:rsid w:val="00AB136C"/>
    <w:rsid w:val="00AB3541"/>
    <w:rsid w:val="00AC4877"/>
    <w:rsid w:val="00AC60EC"/>
    <w:rsid w:val="00AE140F"/>
    <w:rsid w:val="00AE1779"/>
    <w:rsid w:val="00AE1A36"/>
    <w:rsid w:val="00AE22EC"/>
    <w:rsid w:val="00AE5F69"/>
    <w:rsid w:val="00AF447D"/>
    <w:rsid w:val="00AF60B2"/>
    <w:rsid w:val="00B0153A"/>
    <w:rsid w:val="00B0364D"/>
    <w:rsid w:val="00B05BC1"/>
    <w:rsid w:val="00B0680A"/>
    <w:rsid w:val="00B14184"/>
    <w:rsid w:val="00B16EEB"/>
    <w:rsid w:val="00B17ADD"/>
    <w:rsid w:val="00B265E9"/>
    <w:rsid w:val="00B26658"/>
    <w:rsid w:val="00B27923"/>
    <w:rsid w:val="00B27D3F"/>
    <w:rsid w:val="00B27EC8"/>
    <w:rsid w:val="00B3404C"/>
    <w:rsid w:val="00B3660B"/>
    <w:rsid w:val="00B445CA"/>
    <w:rsid w:val="00B44776"/>
    <w:rsid w:val="00B463CD"/>
    <w:rsid w:val="00B47B3B"/>
    <w:rsid w:val="00B505D6"/>
    <w:rsid w:val="00B51A7C"/>
    <w:rsid w:val="00B56340"/>
    <w:rsid w:val="00B63CB9"/>
    <w:rsid w:val="00B643CA"/>
    <w:rsid w:val="00B661B8"/>
    <w:rsid w:val="00B66F1E"/>
    <w:rsid w:val="00B74842"/>
    <w:rsid w:val="00B77336"/>
    <w:rsid w:val="00B77642"/>
    <w:rsid w:val="00B867ED"/>
    <w:rsid w:val="00B87A13"/>
    <w:rsid w:val="00B902B6"/>
    <w:rsid w:val="00B92F89"/>
    <w:rsid w:val="00B939FA"/>
    <w:rsid w:val="00B94C1D"/>
    <w:rsid w:val="00B97BF4"/>
    <w:rsid w:val="00BA1DE4"/>
    <w:rsid w:val="00BB0FB9"/>
    <w:rsid w:val="00BB5EDA"/>
    <w:rsid w:val="00BB6E7C"/>
    <w:rsid w:val="00BB76C5"/>
    <w:rsid w:val="00BC1D45"/>
    <w:rsid w:val="00BC3088"/>
    <w:rsid w:val="00BC3617"/>
    <w:rsid w:val="00BC4066"/>
    <w:rsid w:val="00BC4A98"/>
    <w:rsid w:val="00BC51A5"/>
    <w:rsid w:val="00BC69DB"/>
    <w:rsid w:val="00BD0E73"/>
    <w:rsid w:val="00BD19FF"/>
    <w:rsid w:val="00BD2E1F"/>
    <w:rsid w:val="00BD4426"/>
    <w:rsid w:val="00BD45B1"/>
    <w:rsid w:val="00BD4DED"/>
    <w:rsid w:val="00BD5513"/>
    <w:rsid w:val="00BD798C"/>
    <w:rsid w:val="00BE149D"/>
    <w:rsid w:val="00BE4C06"/>
    <w:rsid w:val="00BE5DC2"/>
    <w:rsid w:val="00BE5E8B"/>
    <w:rsid w:val="00BE7183"/>
    <w:rsid w:val="00BE74BB"/>
    <w:rsid w:val="00BE7B4F"/>
    <w:rsid w:val="00BF3EF2"/>
    <w:rsid w:val="00BF67B8"/>
    <w:rsid w:val="00BF77D9"/>
    <w:rsid w:val="00C005A7"/>
    <w:rsid w:val="00C00A53"/>
    <w:rsid w:val="00C02CBE"/>
    <w:rsid w:val="00C05776"/>
    <w:rsid w:val="00C067B4"/>
    <w:rsid w:val="00C073DD"/>
    <w:rsid w:val="00C07CE5"/>
    <w:rsid w:val="00C13BED"/>
    <w:rsid w:val="00C144CF"/>
    <w:rsid w:val="00C17AC7"/>
    <w:rsid w:val="00C20A76"/>
    <w:rsid w:val="00C21B49"/>
    <w:rsid w:val="00C26D2B"/>
    <w:rsid w:val="00C278D6"/>
    <w:rsid w:val="00C27CCB"/>
    <w:rsid w:val="00C32882"/>
    <w:rsid w:val="00C34886"/>
    <w:rsid w:val="00C3578C"/>
    <w:rsid w:val="00C37999"/>
    <w:rsid w:val="00C4146F"/>
    <w:rsid w:val="00C421F7"/>
    <w:rsid w:val="00C4645B"/>
    <w:rsid w:val="00C53682"/>
    <w:rsid w:val="00C5629C"/>
    <w:rsid w:val="00C56E12"/>
    <w:rsid w:val="00C616C7"/>
    <w:rsid w:val="00C62E21"/>
    <w:rsid w:val="00C63701"/>
    <w:rsid w:val="00C649E1"/>
    <w:rsid w:val="00C654F6"/>
    <w:rsid w:val="00C65FA3"/>
    <w:rsid w:val="00C662FC"/>
    <w:rsid w:val="00C718BF"/>
    <w:rsid w:val="00C72915"/>
    <w:rsid w:val="00C72D08"/>
    <w:rsid w:val="00C73BE9"/>
    <w:rsid w:val="00C803BA"/>
    <w:rsid w:val="00C82A6D"/>
    <w:rsid w:val="00C82DB6"/>
    <w:rsid w:val="00C8375D"/>
    <w:rsid w:val="00C8379B"/>
    <w:rsid w:val="00C84BA6"/>
    <w:rsid w:val="00C8556A"/>
    <w:rsid w:val="00C85F1A"/>
    <w:rsid w:val="00C86F58"/>
    <w:rsid w:val="00C87A5D"/>
    <w:rsid w:val="00C93DBD"/>
    <w:rsid w:val="00C96610"/>
    <w:rsid w:val="00CA03AC"/>
    <w:rsid w:val="00CA247A"/>
    <w:rsid w:val="00CA4D71"/>
    <w:rsid w:val="00CA5FC5"/>
    <w:rsid w:val="00CA6A11"/>
    <w:rsid w:val="00CA6BA3"/>
    <w:rsid w:val="00CA6C4B"/>
    <w:rsid w:val="00CB097E"/>
    <w:rsid w:val="00CB23BB"/>
    <w:rsid w:val="00CB322A"/>
    <w:rsid w:val="00CB4BC9"/>
    <w:rsid w:val="00CB6411"/>
    <w:rsid w:val="00CC489C"/>
    <w:rsid w:val="00CC4ACB"/>
    <w:rsid w:val="00CC7A77"/>
    <w:rsid w:val="00CD0246"/>
    <w:rsid w:val="00CD2FFC"/>
    <w:rsid w:val="00CD551C"/>
    <w:rsid w:val="00CE0C7B"/>
    <w:rsid w:val="00CF1E6A"/>
    <w:rsid w:val="00CF5986"/>
    <w:rsid w:val="00CF5BFD"/>
    <w:rsid w:val="00CF5EC2"/>
    <w:rsid w:val="00CF691D"/>
    <w:rsid w:val="00CF7902"/>
    <w:rsid w:val="00D02172"/>
    <w:rsid w:val="00D02E9A"/>
    <w:rsid w:val="00D038F7"/>
    <w:rsid w:val="00D06A59"/>
    <w:rsid w:val="00D1304A"/>
    <w:rsid w:val="00D158C1"/>
    <w:rsid w:val="00D15FF2"/>
    <w:rsid w:val="00D16B07"/>
    <w:rsid w:val="00D17C2C"/>
    <w:rsid w:val="00D217F5"/>
    <w:rsid w:val="00D22405"/>
    <w:rsid w:val="00D23E5A"/>
    <w:rsid w:val="00D251AF"/>
    <w:rsid w:val="00D26E39"/>
    <w:rsid w:val="00D274F9"/>
    <w:rsid w:val="00D31AA2"/>
    <w:rsid w:val="00D4341C"/>
    <w:rsid w:val="00D43D22"/>
    <w:rsid w:val="00D5201F"/>
    <w:rsid w:val="00D618A5"/>
    <w:rsid w:val="00D62547"/>
    <w:rsid w:val="00D66039"/>
    <w:rsid w:val="00D66A8D"/>
    <w:rsid w:val="00D67807"/>
    <w:rsid w:val="00D708BA"/>
    <w:rsid w:val="00D71324"/>
    <w:rsid w:val="00D74CF4"/>
    <w:rsid w:val="00D76605"/>
    <w:rsid w:val="00D813EE"/>
    <w:rsid w:val="00D82CBE"/>
    <w:rsid w:val="00D906C5"/>
    <w:rsid w:val="00D9259A"/>
    <w:rsid w:val="00D92DDD"/>
    <w:rsid w:val="00D94208"/>
    <w:rsid w:val="00D95D18"/>
    <w:rsid w:val="00D96D3A"/>
    <w:rsid w:val="00DA1035"/>
    <w:rsid w:val="00DA489E"/>
    <w:rsid w:val="00DA690E"/>
    <w:rsid w:val="00DB075C"/>
    <w:rsid w:val="00DB129D"/>
    <w:rsid w:val="00DB33F4"/>
    <w:rsid w:val="00DB4818"/>
    <w:rsid w:val="00DB62F4"/>
    <w:rsid w:val="00DB685B"/>
    <w:rsid w:val="00DB6C31"/>
    <w:rsid w:val="00DB71C8"/>
    <w:rsid w:val="00DC1F41"/>
    <w:rsid w:val="00DC2194"/>
    <w:rsid w:val="00DC54D8"/>
    <w:rsid w:val="00DC5656"/>
    <w:rsid w:val="00DD2CD0"/>
    <w:rsid w:val="00DD3D1D"/>
    <w:rsid w:val="00DD5A44"/>
    <w:rsid w:val="00DE19F9"/>
    <w:rsid w:val="00DE4046"/>
    <w:rsid w:val="00DE4CED"/>
    <w:rsid w:val="00DE645A"/>
    <w:rsid w:val="00DE7076"/>
    <w:rsid w:val="00DF01EA"/>
    <w:rsid w:val="00DF0C33"/>
    <w:rsid w:val="00DF2319"/>
    <w:rsid w:val="00DF33CA"/>
    <w:rsid w:val="00DF4793"/>
    <w:rsid w:val="00DF50BB"/>
    <w:rsid w:val="00E00684"/>
    <w:rsid w:val="00E025F9"/>
    <w:rsid w:val="00E02949"/>
    <w:rsid w:val="00E02D8A"/>
    <w:rsid w:val="00E05B1F"/>
    <w:rsid w:val="00E061DE"/>
    <w:rsid w:val="00E06E2C"/>
    <w:rsid w:val="00E12541"/>
    <w:rsid w:val="00E15BB1"/>
    <w:rsid w:val="00E17A58"/>
    <w:rsid w:val="00E20A57"/>
    <w:rsid w:val="00E265C7"/>
    <w:rsid w:val="00E30B67"/>
    <w:rsid w:val="00E3104A"/>
    <w:rsid w:val="00E31C7E"/>
    <w:rsid w:val="00E35072"/>
    <w:rsid w:val="00E36A66"/>
    <w:rsid w:val="00E37CC0"/>
    <w:rsid w:val="00E40042"/>
    <w:rsid w:val="00E40D9E"/>
    <w:rsid w:val="00E435EA"/>
    <w:rsid w:val="00E46C4F"/>
    <w:rsid w:val="00E47029"/>
    <w:rsid w:val="00E51C3A"/>
    <w:rsid w:val="00E5340B"/>
    <w:rsid w:val="00E56E4C"/>
    <w:rsid w:val="00E60163"/>
    <w:rsid w:val="00E6342F"/>
    <w:rsid w:val="00E63E88"/>
    <w:rsid w:val="00E713B2"/>
    <w:rsid w:val="00E71905"/>
    <w:rsid w:val="00E74F6F"/>
    <w:rsid w:val="00E761C1"/>
    <w:rsid w:val="00E76FD4"/>
    <w:rsid w:val="00E77484"/>
    <w:rsid w:val="00E83722"/>
    <w:rsid w:val="00E8478F"/>
    <w:rsid w:val="00E87FA0"/>
    <w:rsid w:val="00E979F4"/>
    <w:rsid w:val="00EA6C32"/>
    <w:rsid w:val="00EB37B6"/>
    <w:rsid w:val="00EB573D"/>
    <w:rsid w:val="00EC79C4"/>
    <w:rsid w:val="00EC7E5E"/>
    <w:rsid w:val="00ED3282"/>
    <w:rsid w:val="00ED43EE"/>
    <w:rsid w:val="00ED544B"/>
    <w:rsid w:val="00ED56DA"/>
    <w:rsid w:val="00EE1B78"/>
    <w:rsid w:val="00EE3136"/>
    <w:rsid w:val="00EE452D"/>
    <w:rsid w:val="00EE71C3"/>
    <w:rsid w:val="00EF087A"/>
    <w:rsid w:val="00EF1A4B"/>
    <w:rsid w:val="00EF253F"/>
    <w:rsid w:val="00EF446A"/>
    <w:rsid w:val="00F03B1E"/>
    <w:rsid w:val="00F0502B"/>
    <w:rsid w:val="00F05DF9"/>
    <w:rsid w:val="00F069A8"/>
    <w:rsid w:val="00F06D42"/>
    <w:rsid w:val="00F10293"/>
    <w:rsid w:val="00F11504"/>
    <w:rsid w:val="00F12013"/>
    <w:rsid w:val="00F128F7"/>
    <w:rsid w:val="00F12F38"/>
    <w:rsid w:val="00F1427A"/>
    <w:rsid w:val="00F21905"/>
    <w:rsid w:val="00F22CD1"/>
    <w:rsid w:val="00F25C7A"/>
    <w:rsid w:val="00F267E1"/>
    <w:rsid w:val="00F275B4"/>
    <w:rsid w:val="00F27CAE"/>
    <w:rsid w:val="00F3005C"/>
    <w:rsid w:val="00F31C98"/>
    <w:rsid w:val="00F330ED"/>
    <w:rsid w:val="00F33385"/>
    <w:rsid w:val="00F3498A"/>
    <w:rsid w:val="00F3543F"/>
    <w:rsid w:val="00F44EBD"/>
    <w:rsid w:val="00F457FD"/>
    <w:rsid w:val="00F46BF3"/>
    <w:rsid w:val="00F51C42"/>
    <w:rsid w:val="00F5375E"/>
    <w:rsid w:val="00F53CBD"/>
    <w:rsid w:val="00F55593"/>
    <w:rsid w:val="00F60F0D"/>
    <w:rsid w:val="00F66515"/>
    <w:rsid w:val="00F66CB0"/>
    <w:rsid w:val="00F72D59"/>
    <w:rsid w:val="00F759DC"/>
    <w:rsid w:val="00F76264"/>
    <w:rsid w:val="00F779AF"/>
    <w:rsid w:val="00F80196"/>
    <w:rsid w:val="00F801B6"/>
    <w:rsid w:val="00F83FD9"/>
    <w:rsid w:val="00F84832"/>
    <w:rsid w:val="00F84B22"/>
    <w:rsid w:val="00F84F66"/>
    <w:rsid w:val="00F91688"/>
    <w:rsid w:val="00F96B4E"/>
    <w:rsid w:val="00FA0C50"/>
    <w:rsid w:val="00FA6F85"/>
    <w:rsid w:val="00FB0862"/>
    <w:rsid w:val="00FB1957"/>
    <w:rsid w:val="00FB1FD7"/>
    <w:rsid w:val="00FB2800"/>
    <w:rsid w:val="00FB578F"/>
    <w:rsid w:val="00FB5805"/>
    <w:rsid w:val="00FB6C90"/>
    <w:rsid w:val="00FC6AE9"/>
    <w:rsid w:val="00FC6FB0"/>
    <w:rsid w:val="00FD0B91"/>
    <w:rsid w:val="00FD1272"/>
    <w:rsid w:val="00FD268E"/>
    <w:rsid w:val="00FD2F8D"/>
    <w:rsid w:val="00FD7807"/>
    <w:rsid w:val="00FE3F44"/>
    <w:rsid w:val="00FF3629"/>
    <w:rsid w:val="00FF4E87"/>
    <w:rsid w:val="00FF59ED"/>
    <w:rsid w:val="00FF70E7"/>
    <w:rsid w:val="00FF7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D39C6C-AF55-48C1-ACF7-7903742D9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849</Words>
  <Characters>4845</Characters>
  <Application>Microsoft Office Word</Application>
  <DocSecurity>0</DocSecurity>
  <Lines>40</Lines>
  <Paragraphs>11</Paragraphs>
  <ScaleCrop>false</ScaleCrop>
  <Company/>
  <LinksUpToDate>false</LinksUpToDate>
  <CharactersWithSpaces>5683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Divya Abirami S.</dc:creator>
  <cp:keywords/>
  <dc:description/>
  <cp:lastModifiedBy>Divya Abirami S.</cp:lastModifiedBy>
  <cp:revision>2</cp:revision>
  <dcterms:created xsi:type="dcterms:W3CDTF">2021-02-12T03:09:00Z</dcterms:created>
  <dcterms:modified xsi:type="dcterms:W3CDTF">2021-02-12T03:09:00Z</dcterms:modified>
</cp:coreProperties>
</file>