
<file path=[Content_Types].xml><?xml version="1.0" encoding="utf-8"?>
<Types xmlns="http://schemas.openxmlformats.org/package/2006/content-types">
  <Default Extension="emf" ContentType="image/x-emf"/>
  <Default Extension="pptx" ContentType="application/vnd.openxmlformats-officedocument.presentationml.presentation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B2698" w14:textId="77777777" w:rsidR="007B5A68" w:rsidRPr="00475F33" w:rsidRDefault="00FD3D04" w:rsidP="00AD399F">
      <w:pPr>
        <w:pStyle w:val="BodyText"/>
        <w:jc w:val="center"/>
        <w:rPr>
          <w:b/>
          <w:sz w:val="32"/>
          <w:szCs w:val="32"/>
        </w:rPr>
      </w:pPr>
      <w:bookmarkStart w:id="0" w:name="_GoBack"/>
      <w:bookmarkEnd w:id="0"/>
      <w:r w:rsidRPr="00475F33">
        <w:rPr>
          <w:b/>
          <w:sz w:val="32"/>
          <w:szCs w:val="32"/>
        </w:rPr>
        <w:t>SUPPLEMENTARY MATERIAL</w:t>
      </w:r>
    </w:p>
    <w:p w14:paraId="2F846099" w14:textId="77777777" w:rsidR="007B5A68" w:rsidRPr="00475F33" w:rsidRDefault="007B5A68" w:rsidP="00AD399F">
      <w:pPr>
        <w:pStyle w:val="BodyText"/>
        <w:jc w:val="center"/>
        <w:rPr>
          <w:b/>
        </w:rPr>
      </w:pPr>
    </w:p>
    <w:p w14:paraId="047A9D16" w14:textId="77777777" w:rsidR="007B5A68" w:rsidRPr="00475F33" w:rsidRDefault="007B5A68" w:rsidP="00AD399F">
      <w:pPr>
        <w:pStyle w:val="BodyText"/>
        <w:jc w:val="center"/>
        <w:rPr>
          <w:b/>
        </w:rPr>
      </w:pPr>
    </w:p>
    <w:p w14:paraId="6EE8FDC0" w14:textId="77777777" w:rsidR="007B5A68" w:rsidRPr="00475F33" w:rsidRDefault="007B5A68" w:rsidP="00AD399F">
      <w:pPr>
        <w:pStyle w:val="BodyText"/>
        <w:jc w:val="center"/>
        <w:rPr>
          <w:b/>
        </w:rPr>
      </w:pPr>
    </w:p>
    <w:p w14:paraId="7B5BA7C2" w14:textId="77777777" w:rsidR="007B5A68" w:rsidRPr="00475F33" w:rsidRDefault="007B5A68" w:rsidP="00DF290F">
      <w:pPr>
        <w:pStyle w:val="BodyText"/>
        <w:jc w:val="center"/>
        <w:rPr>
          <w:b/>
        </w:rPr>
      </w:pPr>
    </w:p>
    <w:p w14:paraId="063FA4CE" w14:textId="77777777" w:rsidR="00D77B96" w:rsidRDefault="00DA2C17" w:rsidP="00D77B96">
      <w:pPr>
        <w:pStyle w:val="BodyText"/>
        <w:rPr>
          <w:b/>
        </w:rPr>
      </w:pPr>
      <w:r>
        <w:rPr>
          <w:b/>
        </w:rPr>
        <w:t>Ticagrelor</w:t>
      </w:r>
      <w:r w:rsidR="00D77B96" w:rsidRPr="006877C6">
        <w:rPr>
          <w:b/>
        </w:rPr>
        <w:t xml:space="preserve"> </w:t>
      </w:r>
      <w:r w:rsidR="00D77B96">
        <w:rPr>
          <w:b/>
        </w:rPr>
        <w:t>or</w:t>
      </w:r>
      <w:r w:rsidR="00D77B96" w:rsidRPr="006877C6">
        <w:rPr>
          <w:b/>
        </w:rPr>
        <w:t xml:space="preserve"> </w:t>
      </w:r>
      <w:r>
        <w:rPr>
          <w:b/>
        </w:rPr>
        <w:t>Prasugrel</w:t>
      </w:r>
      <w:r w:rsidR="00D77B96" w:rsidRPr="006877C6">
        <w:rPr>
          <w:b/>
        </w:rPr>
        <w:t xml:space="preserve"> in </w:t>
      </w:r>
      <w:r w:rsidR="00D77B96">
        <w:rPr>
          <w:b/>
        </w:rPr>
        <w:t xml:space="preserve">Patients with Acute Coronary Syndromes and Diabetes Mellitus </w:t>
      </w:r>
    </w:p>
    <w:p w14:paraId="52A238E5" w14:textId="77777777" w:rsidR="00D77B96" w:rsidRDefault="00D77B96" w:rsidP="00475F33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46D7CAA" w14:textId="77777777" w:rsidR="00475F33" w:rsidRPr="00475F33" w:rsidRDefault="00475F33" w:rsidP="00475F3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b/>
          <w:sz w:val="24"/>
          <w:szCs w:val="24"/>
          <w:lang w:val="en-US"/>
        </w:rPr>
        <w:t>Running Title: Prasugrel vs. Ticagrelor in ACS Patients with Diabetes</w:t>
      </w:r>
    </w:p>
    <w:p w14:paraId="67544692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</w:rPr>
        <w:t>Gjin Ndrepepa, MD1; Adnan Kastrati, MD1,2; Maurizio Menichelli, MD3; Franz‑ Josef</w:t>
      </w:r>
    </w:p>
    <w:p w14:paraId="27242D73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</w:rPr>
        <w:t>Neumann, MD4; Jochen Wöhrle, MD5; Isabell Bernlochner, MD2,6; Gert Richardt, MD7;</w:t>
      </w:r>
    </w:p>
    <w:p w14:paraId="31F06986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</w:rPr>
        <w:t>Bernhard Witzenbichler, MD8; Dirk Sibbing, MD2,9; Senta Gewalt, MD1; Dominick J.</w:t>
      </w:r>
    </w:p>
    <w:p w14:paraId="6F0CFDDD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lang w:val="en-US"/>
        </w:rPr>
        <w:t>Angiolillo, MD; PhD10; Christian W. Hamm, MD11,12; Alexander Hapfelmeier, MSc13;</w:t>
      </w:r>
    </w:p>
    <w:p w14:paraId="6073EC5D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</w:rPr>
        <w:t>Dietmar Trenk, PhD4; Karl‑ Ludwig Laugwitz, MD2,6; Heribert Schunkert, MD1,2; Stefanie</w:t>
      </w:r>
    </w:p>
    <w:p w14:paraId="5A3F86F9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lang w:val="en-US"/>
        </w:rPr>
        <w:t>Schüpke, MD1,2; Katharina Mayer, MD1</w:t>
      </w:r>
    </w:p>
    <w:p w14:paraId="5229DA78" w14:textId="77777777" w:rsid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AAF0988" w14:textId="77777777" w:rsidR="00475F33" w:rsidRPr="00466ECD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66ECD">
        <w:rPr>
          <w:rFonts w:ascii="Times New Roman" w:hAnsi="Times New Roman" w:cs="Times New Roman"/>
          <w:sz w:val="24"/>
          <w:szCs w:val="24"/>
          <w:lang w:val="en-US"/>
        </w:rPr>
        <w:t>Affiliations:</w:t>
      </w:r>
    </w:p>
    <w:p w14:paraId="180D7B61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5F33">
        <w:rPr>
          <w:rFonts w:ascii="Times New Roman" w:hAnsi="Times New Roman" w:cs="Times New Roman"/>
          <w:sz w:val="24"/>
          <w:szCs w:val="24"/>
        </w:rPr>
        <w:t>Deutsches Herzzentrum München, Cardiology, and Technische Universität München, both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5F33">
        <w:rPr>
          <w:rFonts w:ascii="Times New Roman" w:hAnsi="Times New Roman" w:cs="Times New Roman"/>
          <w:sz w:val="24"/>
          <w:szCs w:val="24"/>
        </w:rPr>
        <w:t>Munich, Germany;</w:t>
      </w:r>
    </w:p>
    <w:p w14:paraId="5842EAF7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475F33">
        <w:rPr>
          <w:rFonts w:ascii="Times New Roman" w:hAnsi="Times New Roman" w:cs="Times New Roman"/>
          <w:sz w:val="24"/>
          <w:szCs w:val="24"/>
          <w:lang w:val="en-US"/>
        </w:rPr>
        <w:t>German Center for Cardiovascular Research (DZHK), Partner Site Munich Heart Alliance,</w:t>
      </w:r>
    </w:p>
    <w:p w14:paraId="1A3CDE73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lang w:val="en-US"/>
        </w:rPr>
        <w:t>Germany;</w:t>
      </w:r>
    </w:p>
    <w:p w14:paraId="2C2E97A7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475F33">
        <w:rPr>
          <w:rFonts w:ascii="Times New Roman" w:hAnsi="Times New Roman" w:cs="Times New Roman"/>
          <w:sz w:val="24"/>
          <w:szCs w:val="24"/>
          <w:lang w:val="en-US"/>
        </w:rPr>
        <w:t>Ospedale Fabrizio Spaziani, Cardiology, Frosinone, Italy;</w:t>
      </w:r>
    </w:p>
    <w:p w14:paraId="127CAC26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475F33">
        <w:rPr>
          <w:rFonts w:ascii="Times New Roman" w:hAnsi="Times New Roman" w:cs="Times New Roman"/>
          <w:sz w:val="24"/>
          <w:szCs w:val="24"/>
          <w:lang w:val="en-US"/>
        </w:rPr>
        <w:t>Department of Cardiology and Angiology II, University Heart Center Freiburg · Bad</w:t>
      </w:r>
    </w:p>
    <w:p w14:paraId="53E4F669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lang w:val="en-US"/>
        </w:rPr>
        <w:t>Krozingen, Bad Krozingen, Germany;</w:t>
      </w:r>
    </w:p>
    <w:p w14:paraId="11CDF45D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5</w:t>
      </w:r>
      <w:r w:rsidRPr="00475F33">
        <w:rPr>
          <w:rFonts w:ascii="Times New Roman" w:hAnsi="Times New Roman" w:cs="Times New Roman"/>
          <w:sz w:val="24"/>
          <w:szCs w:val="24"/>
          <w:lang w:val="en-US"/>
        </w:rPr>
        <w:t>Dept. of Cardiology, Medical Campus Lake Constance, Friedrichshafen, Germany;</w:t>
      </w:r>
    </w:p>
    <w:p w14:paraId="25243B93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475F33">
        <w:rPr>
          <w:rFonts w:ascii="Times New Roman" w:hAnsi="Times New Roman" w:cs="Times New Roman"/>
          <w:sz w:val="24"/>
          <w:szCs w:val="24"/>
        </w:rPr>
        <w:t>Medizinische Klinik und Poliklinik Innere Medizin I (Kardiologie, Angiologie,</w:t>
      </w:r>
    </w:p>
    <w:p w14:paraId="7A0E3B2F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</w:rPr>
        <w:t>Pneumologie), Klinikum rechts der Isar, Munich, Germany;</w:t>
      </w:r>
    </w:p>
    <w:p w14:paraId="0F01708A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7</w:t>
      </w:r>
      <w:r w:rsidRPr="00475F33">
        <w:rPr>
          <w:rFonts w:ascii="Times New Roman" w:hAnsi="Times New Roman" w:cs="Times New Roman"/>
          <w:sz w:val="24"/>
          <w:szCs w:val="24"/>
          <w:lang w:val="en-US"/>
        </w:rPr>
        <w:t>Heart Center Bad Segeberg, Bad Segeberg, Germany;</w:t>
      </w:r>
    </w:p>
    <w:p w14:paraId="4547185A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475F33">
        <w:rPr>
          <w:rFonts w:ascii="Times New Roman" w:hAnsi="Times New Roman" w:cs="Times New Roman"/>
          <w:sz w:val="24"/>
          <w:szCs w:val="24"/>
        </w:rPr>
        <w:t>Helios Amper-Klinikum Dachau, Cardiology &amp; Pneumology, Dachau, FRG, Germany;</w:t>
      </w:r>
    </w:p>
    <w:p w14:paraId="537E13B4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475F33">
        <w:rPr>
          <w:rFonts w:ascii="Times New Roman" w:hAnsi="Times New Roman" w:cs="Times New Roman"/>
          <w:sz w:val="24"/>
          <w:szCs w:val="24"/>
        </w:rPr>
        <w:t>Klinik der Universität München, Ludwig – Maximilians – University, Cardiology, Munich,</w:t>
      </w:r>
    </w:p>
    <w:p w14:paraId="26C6C685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lang w:val="en-US"/>
        </w:rPr>
        <w:t>Germany;</w:t>
      </w:r>
    </w:p>
    <w:p w14:paraId="32BAA5E6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10</w:t>
      </w:r>
      <w:r w:rsidRPr="00475F33">
        <w:rPr>
          <w:rFonts w:ascii="Times New Roman" w:hAnsi="Times New Roman" w:cs="Times New Roman"/>
          <w:sz w:val="24"/>
          <w:szCs w:val="24"/>
          <w:lang w:val="en-US"/>
        </w:rPr>
        <w:t>Devision of Cardiology, University of Florida College of Medicine, Jacksonville, FL, USA;</w:t>
      </w:r>
    </w:p>
    <w:p w14:paraId="3D7B2A44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11</w:t>
      </w:r>
      <w:r w:rsidRPr="00475F33">
        <w:rPr>
          <w:rFonts w:ascii="Times New Roman" w:hAnsi="Times New Roman" w:cs="Times New Roman"/>
          <w:sz w:val="24"/>
          <w:szCs w:val="24"/>
          <w:lang w:val="en-US"/>
        </w:rPr>
        <w:t>Heart Center, Campus Kerckhoff of Justus-Liebig-University, Giessen, Germany</w:t>
      </w:r>
      <w:r w:rsidR="00322399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9115802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12</w:t>
      </w:r>
      <w:r w:rsidRPr="00475F33">
        <w:rPr>
          <w:rFonts w:ascii="Times New Roman" w:hAnsi="Times New Roman" w:cs="Times New Roman"/>
          <w:sz w:val="24"/>
          <w:szCs w:val="24"/>
          <w:lang w:val="en-US"/>
        </w:rPr>
        <w:t>German Center for Cardiovascular Research (DZHK), Partner Site Rhine-Main, Germany;</w:t>
      </w:r>
    </w:p>
    <w:p w14:paraId="696A0E61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13</w:t>
      </w:r>
      <w:r w:rsidRPr="00475F33">
        <w:rPr>
          <w:rFonts w:ascii="Times New Roman" w:hAnsi="Times New Roman" w:cs="Times New Roman"/>
          <w:sz w:val="24"/>
          <w:szCs w:val="24"/>
          <w:lang w:val="en-US"/>
        </w:rPr>
        <w:t>Technical University of Munich, School of Medicine, Institute of Medical Informatics,</w:t>
      </w:r>
    </w:p>
    <w:p w14:paraId="24B68E49" w14:textId="77777777" w:rsidR="00475F33" w:rsidRP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5F33">
        <w:rPr>
          <w:rFonts w:ascii="Times New Roman" w:hAnsi="Times New Roman" w:cs="Times New Roman"/>
          <w:sz w:val="24"/>
          <w:szCs w:val="24"/>
          <w:lang w:val="en-US"/>
        </w:rPr>
        <w:t>Statistics and Epidemiology, Munich, Germany</w:t>
      </w:r>
    </w:p>
    <w:p w14:paraId="0A7D4158" w14:textId="77777777" w:rsidR="00475F33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24070A4" w14:textId="77777777" w:rsidR="00475F33" w:rsidRPr="00466ECD" w:rsidRDefault="00475F33" w:rsidP="00475F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66ECD">
        <w:rPr>
          <w:rFonts w:ascii="Times New Roman" w:hAnsi="Times New Roman" w:cs="Times New Roman"/>
          <w:sz w:val="24"/>
          <w:szCs w:val="24"/>
          <w:lang w:val="en-US"/>
        </w:rPr>
        <w:t xml:space="preserve">Correspondence to: </w:t>
      </w:r>
      <w:r w:rsidRPr="00466ECD">
        <w:rPr>
          <w:rFonts w:ascii="Times New Roman" w:hAnsi="Times New Roman" w:cs="Times New Roman"/>
          <w:sz w:val="24"/>
          <w:szCs w:val="24"/>
          <w:lang w:val="en-US"/>
        </w:rPr>
        <w:tab/>
        <w:t>Adnan Kastrati, MD</w:t>
      </w:r>
    </w:p>
    <w:p w14:paraId="7D2DE25F" w14:textId="77777777" w:rsidR="00475F33" w:rsidRPr="00475F33" w:rsidRDefault="00475F33" w:rsidP="00475F33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</w:rPr>
        <w:t>Deutsches Herzzentrum München</w:t>
      </w:r>
    </w:p>
    <w:p w14:paraId="64524974" w14:textId="77777777" w:rsidR="00475F33" w:rsidRPr="00475F33" w:rsidRDefault="00475F33" w:rsidP="00475F33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</w:rPr>
        <w:t>Lazarettstrasse 36</w:t>
      </w:r>
    </w:p>
    <w:p w14:paraId="43D8CA1F" w14:textId="77777777" w:rsidR="00475F33" w:rsidRPr="00475F33" w:rsidRDefault="00475F33" w:rsidP="00475F33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</w:rPr>
        <w:t>80636 München</w:t>
      </w:r>
    </w:p>
    <w:p w14:paraId="6ECEDF13" w14:textId="77777777" w:rsidR="00475F33" w:rsidRPr="00475F33" w:rsidRDefault="00475F33" w:rsidP="00475F33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</w:rPr>
        <w:t>GERMANY</w:t>
      </w:r>
    </w:p>
    <w:p w14:paraId="1150D79D" w14:textId="77777777" w:rsidR="00475F33" w:rsidRPr="00475F33" w:rsidRDefault="00475F33" w:rsidP="00475F33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75F33">
        <w:rPr>
          <w:rFonts w:ascii="Times New Roman" w:hAnsi="Times New Roman" w:cs="Times New Roman"/>
          <w:sz w:val="24"/>
          <w:szCs w:val="24"/>
        </w:rPr>
        <w:t>e-mail: kastrati@dhm.mhn.de</w:t>
      </w:r>
    </w:p>
    <w:p w14:paraId="656C5150" w14:textId="77777777" w:rsidR="00480DC6" w:rsidRPr="00935866" w:rsidRDefault="00480DC6" w:rsidP="00480DC6">
      <w:pPr>
        <w:keepNext/>
        <w:adjustRightInd w:val="0"/>
        <w:rPr>
          <w:rFonts w:eastAsia="Calibri"/>
          <w:sz w:val="24"/>
          <w:szCs w:val="24"/>
        </w:rPr>
        <w:sectPr w:rsidR="00480DC6" w:rsidRPr="00935866"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7785B82" w14:textId="77777777" w:rsidR="00480DC6" w:rsidRPr="00EA6DED" w:rsidRDefault="00EC39EF" w:rsidP="0075057F">
      <w:pPr>
        <w:keepNext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EA6DED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Table S1</w:t>
      </w:r>
      <w:r w:rsidR="00480DC6" w:rsidRPr="00EA6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  <w:r w:rsidR="0075057F" w:rsidRPr="00EA6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Angiographic </w:t>
      </w:r>
      <w:r w:rsidRPr="00EA6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and </w:t>
      </w:r>
      <w:r w:rsidR="0075057F" w:rsidRPr="00EA6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Data</w:t>
      </w:r>
      <w:r w:rsidR="000C55D6" w:rsidRPr="00EA6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*</w:t>
      </w:r>
    </w:p>
    <w:tbl>
      <w:tblPr>
        <w:tblW w:w="14200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297"/>
        <w:gridCol w:w="1985"/>
        <w:gridCol w:w="850"/>
        <w:gridCol w:w="2126"/>
        <w:gridCol w:w="2004"/>
        <w:gridCol w:w="861"/>
      </w:tblGrid>
      <w:tr w:rsidR="00480DC6" w:rsidRPr="00EA6DED" w14:paraId="6B48CA75" w14:textId="77777777" w:rsidTr="007201DC">
        <w:trPr>
          <w:trHeight w:val="295"/>
        </w:trPr>
        <w:tc>
          <w:tcPr>
            <w:tcW w:w="4077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F5B3DDA" w14:textId="77777777" w:rsidR="00480DC6" w:rsidRPr="00EA6DED" w:rsidRDefault="00480DC6" w:rsidP="0075057F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Characteristic</w:t>
            </w:r>
          </w:p>
          <w:p w14:paraId="5A60B3CD" w14:textId="77777777" w:rsidR="00480DC6" w:rsidRPr="00EA6DED" w:rsidRDefault="00480DC6" w:rsidP="0075057F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ADEB6FC" w14:textId="77777777" w:rsidR="00480DC6" w:rsidRPr="00EA6DED" w:rsidRDefault="00480DC6" w:rsidP="0075057F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B085" w14:textId="77777777" w:rsidR="00480DC6" w:rsidRPr="00EA6DED" w:rsidRDefault="00EC39EF" w:rsidP="0075057F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Diabetes (n=888)</w:t>
            </w:r>
          </w:p>
        </w:tc>
        <w:tc>
          <w:tcPr>
            <w:tcW w:w="4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D66C963" w14:textId="77777777" w:rsidR="00480DC6" w:rsidRPr="00EA6DED" w:rsidRDefault="000C55D6" w:rsidP="000C55D6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 diabetes</w:t>
            </w:r>
            <w:r w:rsidR="00480DC6" w:rsidRPr="00EA6D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(n=</w:t>
            </w:r>
            <w:r w:rsidRPr="00EA6D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3114</w:t>
            </w:r>
            <w:r w:rsidR="00480DC6" w:rsidRPr="00EA6D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3F0B6C" w:rsidRPr="00EA6DED" w14:paraId="3F846F94" w14:textId="77777777" w:rsidTr="007201DC">
        <w:trPr>
          <w:trHeight w:val="295"/>
        </w:trPr>
        <w:tc>
          <w:tcPr>
            <w:tcW w:w="4077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28BCF21" w14:textId="77777777" w:rsidR="003F0B6C" w:rsidRPr="00EA6DED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2318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Ticag</w:t>
            </w: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relor (n=460)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1E19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Prasugrel (n=428)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5869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P value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53477E2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Ticagrelor (n=1542)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8E7D45F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Prasugrel </w:t>
            </w:r>
          </w:p>
          <w:p w14:paraId="00CB0DFE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(n=1572)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</w:tcPr>
          <w:p w14:paraId="08E475B6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P value</w:t>
            </w:r>
          </w:p>
        </w:tc>
      </w:tr>
      <w:tr w:rsidR="003F0B6C" w:rsidRPr="00EA6DED" w14:paraId="30BCB983" w14:textId="77777777" w:rsidTr="007201DC">
        <w:tblPrEx>
          <w:tblBorders>
            <w:top w:val="none" w:sz="0" w:space="0" w:color="auto"/>
          </w:tblBorders>
        </w:tblPrEx>
        <w:trPr>
          <w:trHeight w:val="295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6B96967" w14:textId="77777777" w:rsidR="003F0B6C" w:rsidRPr="00EA6DED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Access site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747A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40E9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2D9E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0.716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8B7F3B9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40DB436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CC73157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0.987</w:t>
            </w:r>
          </w:p>
        </w:tc>
      </w:tr>
      <w:tr w:rsidR="003F0B6C" w:rsidRPr="00EA6DED" w14:paraId="6166F3B2" w14:textId="77777777" w:rsidTr="007201DC">
        <w:tblPrEx>
          <w:tblBorders>
            <w:top w:val="none" w:sz="0" w:space="0" w:color="auto"/>
          </w:tblBorders>
        </w:tblPrEx>
        <w:trPr>
          <w:trHeight w:val="295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325A770" w14:textId="77777777" w:rsidR="003F0B6C" w:rsidRPr="00EA6DED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Femoral artery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4D26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287(62.4)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A65D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279 (65.2)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056A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570A63A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957 (62.1)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DA5B624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980 (62.3)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9497054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EA6DED" w14:paraId="1C1BB9EF" w14:textId="77777777" w:rsidTr="007201DC">
        <w:tblPrEx>
          <w:tblBorders>
            <w:top w:val="none" w:sz="0" w:space="0" w:color="auto"/>
          </w:tblBorders>
        </w:tblPrEx>
        <w:trPr>
          <w:trHeight w:val="295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59FE1CF" w14:textId="77777777" w:rsidR="003F0B6C" w:rsidRPr="00EA6DED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Radial artery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9C7D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171 (37.2)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3C88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147 (34.3)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EE11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05DF903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577 (37.4)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026C53A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584 (37.2)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A691372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EA6DED" w14:paraId="31709878" w14:textId="77777777" w:rsidTr="007201DC">
        <w:tblPrEx>
          <w:tblBorders>
            <w:top w:val="none" w:sz="0" w:space="0" w:color="auto"/>
          </w:tblBorders>
        </w:tblPrEx>
        <w:trPr>
          <w:trHeight w:val="32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EB8BE2B" w14:textId="77777777" w:rsidR="003F0B6C" w:rsidRPr="00EA6DED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Other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683D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2 (0.4)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C64C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2 (0.5)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3F27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CEEAA6F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8 (0.5)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B0D5A7C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8 (0.5)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A55321E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EA6DED" w14:paraId="35B613FD" w14:textId="77777777" w:rsidTr="007201DC">
        <w:tblPrEx>
          <w:tblBorders>
            <w:top w:val="none" w:sz="0" w:space="0" w:color="auto"/>
          </w:tblBorders>
        </w:tblPrEx>
        <w:trPr>
          <w:trHeight w:val="295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795F8E7" w14:textId="77777777" w:rsidR="003F0B6C" w:rsidRPr="00EA6DED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Number of diseased coronary arteries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906E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B5FB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5F36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0.748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6766C5E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8280C25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366B18C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0.760</w:t>
            </w:r>
          </w:p>
        </w:tc>
      </w:tr>
      <w:tr w:rsidR="003F0B6C" w:rsidRPr="00EA6DED" w14:paraId="5BDD78BC" w14:textId="77777777" w:rsidTr="007201DC">
        <w:tblPrEx>
          <w:tblBorders>
            <w:top w:val="none" w:sz="0" w:space="0" w:color="auto"/>
          </w:tblBorders>
        </w:tblPrEx>
        <w:trPr>
          <w:trHeight w:val="295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529995E" w14:textId="77777777" w:rsidR="003F0B6C" w:rsidRPr="00EA6DED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No obstructive CAD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776D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30 (6.5)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66FD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25 (5.8)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E24F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148C7D7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  <w:r w:rsidR="00EC1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(9.0)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0276677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139 (8.8)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2929150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EA6DED" w14:paraId="30294AB8" w14:textId="77777777" w:rsidTr="007201DC">
        <w:tblPrEx>
          <w:tblBorders>
            <w:top w:val="none" w:sz="0" w:space="0" w:color="auto"/>
          </w:tblBorders>
        </w:tblPrEx>
        <w:trPr>
          <w:trHeight w:val="295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A6DB9DC" w14:textId="77777777" w:rsidR="003F0B6C" w:rsidRPr="00EA6DED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One-vessel disease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689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103 (22.4)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98E6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85 (19.9)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954E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0C9C4CD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498 (32.3)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78FC2DE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496 (31.6)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13382B0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EA6DED" w14:paraId="5543EC87" w14:textId="77777777" w:rsidTr="007201DC">
        <w:tblPrEx>
          <w:tblBorders>
            <w:top w:val="none" w:sz="0" w:space="0" w:color="auto"/>
          </w:tblBorders>
        </w:tblPrEx>
        <w:trPr>
          <w:trHeight w:val="295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B2431D6" w14:textId="77777777" w:rsidR="003F0B6C" w:rsidRPr="00EA6DED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Two-vessel disease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BE89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115 (25.0)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838E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115 (26.9)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CD1C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3825B94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405 (26.3)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AFFFD48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440 (28.0)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9A475B2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EA6DED" w14:paraId="6C5E2D55" w14:textId="77777777" w:rsidTr="007201DC">
        <w:tblPrEx>
          <w:tblBorders>
            <w:top w:val="none" w:sz="0" w:space="0" w:color="auto"/>
          </w:tblBorders>
        </w:tblPrEx>
        <w:trPr>
          <w:trHeight w:val="295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9D5E018" w14:textId="77777777" w:rsidR="003F0B6C" w:rsidRPr="00EA6DED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Three-vessel disease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C586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212 (46.1)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6020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203 (47.4)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792E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DB98D1C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499 (32.4)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2675C3D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497 (31.6)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24A6DAC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EA6DED" w14:paraId="1BA6D48F" w14:textId="77777777" w:rsidTr="007201DC">
        <w:tblPrEx>
          <w:tblBorders>
            <w:top w:val="none" w:sz="0" w:space="0" w:color="auto"/>
            <w:bottom w:val="single" w:sz="4" w:space="0" w:color="auto"/>
          </w:tblBorders>
        </w:tblPrEx>
        <w:trPr>
          <w:trHeight w:val="32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3FE0B83" w14:textId="77777777" w:rsidR="003F0B6C" w:rsidRPr="00EA6DED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Left ventricular ejection fraction**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A7AF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50.0±12.1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D199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50.4±12.2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9925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0.628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11213FC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52.1±11.0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D956178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52.5±10.8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6C917E6" w14:textId="77777777" w:rsidR="003F0B6C" w:rsidRPr="00EA6DED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DED">
              <w:rPr>
                <w:rFonts w:ascii="Times New Roman" w:eastAsia="Calibri" w:hAnsi="Times New Roman" w:cs="Times New Roman"/>
                <w:sz w:val="24"/>
                <w:szCs w:val="24"/>
              </w:rPr>
              <w:t>0.324</w:t>
            </w:r>
          </w:p>
        </w:tc>
      </w:tr>
    </w:tbl>
    <w:p w14:paraId="6A352B1E" w14:textId="77777777" w:rsidR="00480DC6" w:rsidRPr="00EA6DED" w:rsidRDefault="00480DC6" w:rsidP="0075057F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C40E72" w14:textId="77777777" w:rsidR="00480DC6" w:rsidRDefault="00480DC6" w:rsidP="0075057F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30CBA">
        <w:rPr>
          <w:rFonts w:ascii="Times New Roman" w:eastAsia="Calibri" w:hAnsi="Times New Roman" w:cs="Times New Roman"/>
          <w:sz w:val="24"/>
          <w:szCs w:val="24"/>
          <w:lang w:val="en-US"/>
        </w:rPr>
        <w:t>Data are counts (proportion; %) or mean ±standard deviation. CAD indicates coronary artery disease</w:t>
      </w:r>
      <w:r w:rsidR="000C55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</w:p>
    <w:p w14:paraId="406AD826" w14:textId="77777777" w:rsidR="000C55D6" w:rsidRDefault="000C55D6" w:rsidP="000C55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*Angiographic data are not available for 4 patients with diabetes (1 in the prasugrel group and 3 in the ticagrelor group) and 10 patients without diabetes (4 in the prasugrel group and 6 in the ticagrelor group). </w:t>
      </w:r>
    </w:p>
    <w:p w14:paraId="5DF2EE23" w14:textId="77777777" w:rsidR="00480DC6" w:rsidRPr="00230CBA" w:rsidRDefault="00480DC6" w:rsidP="0075057F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BA6A7BB" w14:textId="77777777" w:rsidR="00480DC6" w:rsidRPr="00230CBA" w:rsidRDefault="00480DC6" w:rsidP="0075057F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30CB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*</w:t>
      </w:r>
      <w:r w:rsidR="009B65F8">
        <w:rPr>
          <w:rFonts w:ascii="Times New Roman" w:eastAsia="Calibri" w:hAnsi="Times New Roman" w:cs="Times New Roman"/>
          <w:sz w:val="24"/>
          <w:szCs w:val="24"/>
          <w:lang w:val="en-US"/>
        </w:rPr>
        <w:t>*</w:t>
      </w:r>
      <w:r w:rsidRPr="00230CB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Left ventricular ejection fraction was not available in </w:t>
      </w:r>
      <w:r w:rsidR="00A0748A">
        <w:rPr>
          <w:rFonts w:ascii="Times New Roman" w:eastAsia="Calibri" w:hAnsi="Times New Roman" w:cs="Times New Roman"/>
          <w:sz w:val="24"/>
          <w:szCs w:val="24"/>
          <w:lang w:val="en-US"/>
        </w:rPr>
        <w:t>34 patients with diabetes (18 patients in the prasugrel and 1</w:t>
      </w:r>
      <w:r w:rsidR="00987DB9">
        <w:rPr>
          <w:rFonts w:ascii="Times New Roman" w:eastAsia="Calibri" w:hAnsi="Times New Roman" w:cs="Times New Roman"/>
          <w:sz w:val="24"/>
          <w:szCs w:val="24"/>
          <w:lang w:val="en-US"/>
        </w:rPr>
        <w:t>6 patients in the ticagrelor gr</w:t>
      </w:r>
      <w:r w:rsidR="00A074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oup) and </w:t>
      </w:r>
      <w:r w:rsidR="00BE76A6">
        <w:rPr>
          <w:rFonts w:ascii="Times New Roman" w:eastAsia="Calibri" w:hAnsi="Times New Roman" w:cs="Times New Roman"/>
          <w:sz w:val="24"/>
          <w:szCs w:val="24"/>
          <w:lang w:val="en-US"/>
        </w:rPr>
        <w:t>176</w:t>
      </w:r>
      <w:r w:rsidR="00A074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patients without diabetes (</w:t>
      </w:r>
      <w:r w:rsidR="00BE76A6">
        <w:rPr>
          <w:rFonts w:ascii="Times New Roman" w:eastAsia="Calibri" w:hAnsi="Times New Roman" w:cs="Times New Roman"/>
          <w:sz w:val="24"/>
          <w:szCs w:val="24"/>
          <w:lang w:val="en-US"/>
        </w:rPr>
        <w:t>91</w:t>
      </w:r>
      <w:r w:rsidR="00A074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patients in the prasugrel and </w:t>
      </w:r>
      <w:r w:rsidR="00BE76A6">
        <w:rPr>
          <w:rFonts w:ascii="Times New Roman" w:eastAsia="Calibri" w:hAnsi="Times New Roman" w:cs="Times New Roman"/>
          <w:sz w:val="24"/>
          <w:szCs w:val="24"/>
          <w:lang w:val="en-US"/>
        </w:rPr>
        <w:t>85</w:t>
      </w:r>
      <w:r w:rsidR="00A074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patients in the ticagrelor grpoup)</w:t>
      </w:r>
    </w:p>
    <w:p w14:paraId="537D83CE" w14:textId="77777777" w:rsidR="00480DC6" w:rsidRPr="00230CBA" w:rsidRDefault="00480DC6" w:rsidP="0075057F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1364BA2" w14:textId="77777777" w:rsidR="00480DC6" w:rsidRPr="00BC46E4" w:rsidRDefault="00480DC6" w:rsidP="0075057F">
      <w:pPr>
        <w:keepNext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230CBA">
        <w:rPr>
          <w:rFonts w:ascii="Times New Roman" w:hAnsi="Times New Roman" w:cs="Times New Roman"/>
          <w:sz w:val="24"/>
          <w:szCs w:val="24"/>
          <w:lang w:val="en-US"/>
        </w:rPr>
        <w:br w:type="page"/>
      </w:r>
      <w:r w:rsidRPr="00BC46E4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 xml:space="preserve"> Table </w:t>
      </w:r>
      <w:r w:rsidR="00BF37D2" w:rsidRPr="00BC46E4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Pr="00BC46E4">
        <w:rPr>
          <w:rFonts w:ascii="Times New Roman" w:eastAsia="Calibri" w:hAnsi="Times New Roman" w:cs="Times New Roman"/>
          <w:b/>
          <w:sz w:val="24"/>
          <w:szCs w:val="24"/>
          <w:lang w:val="en-US"/>
        </w:rPr>
        <w:t>2. Procedural Characteristics</w:t>
      </w:r>
    </w:p>
    <w:tbl>
      <w:tblPr>
        <w:tblW w:w="13887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1955"/>
        <w:gridCol w:w="1418"/>
        <w:gridCol w:w="1134"/>
        <w:gridCol w:w="1843"/>
        <w:gridCol w:w="2126"/>
        <w:gridCol w:w="1021"/>
      </w:tblGrid>
      <w:tr w:rsidR="00480DC6" w:rsidRPr="00BC46E4" w14:paraId="4C1CA04C" w14:textId="77777777" w:rsidTr="00EC39EF">
        <w:tc>
          <w:tcPr>
            <w:tcW w:w="4390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B003880" w14:textId="77777777" w:rsidR="00480DC6" w:rsidRPr="00BC46E4" w:rsidRDefault="00480DC6" w:rsidP="0075057F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Characteristic</w:t>
            </w:r>
          </w:p>
          <w:p w14:paraId="02847E9D" w14:textId="77777777" w:rsidR="00480DC6" w:rsidRPr="00BC46E4" w:rsidRDefault="00480DC6" w:rsidP="0075057F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FA071B" w14:textId="77777777" w:rsidR="00480DC6" w:rsidRPr="00BC46E4" w:rsidRDefault="00480DC6" w:rsidP="0075057F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67E3" w14:textId="77777777" w:rsidR="00480DC6" w:rsidRPr="00BC46E4" w:rsidRDefault="00212157" w:rsidP="00212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Diabetes </w:t>
            </w:r>
            <w:r w:rsidR="00480DC6"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(n=</w:t>
            </w: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743</w:t>
            </w:r>
            <w:r w:rsidR="00480DC6"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C71281C" w14:textId="77777777" w:rsidR="00480DC6" w:rsidRPr="00BC46E4" w:rsidRDefault="00212157" w:rsidP="005E4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 diabetes</w:t>
            </w:r>
            <w:r w:rsidR="00480DC6"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(n=2</w:t>
            </w:r>
            <w:r w:rsidR="00F81A3C"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632</w:t>
            </w:r>
            <w:r w:rsidR="00480DC6"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3F0B6C" w:rsidRPr="00BC46E4" w14:paraId="0BCD620E" w14:textId="77777777" w:rsidTr="00BE76A6">
        <w:tc>
          <w:tcPr>
            <w:tcW w:w="4390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13E73A2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B02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Ticagrelor</w:t>
            </w:r>
          </w:p>
          <w:p w14:paraId="540142C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(n=376)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AE5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Prasugrel (n=367)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B00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P value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635920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Ticagrelor</w:t>
            </w:r>
          </w:p>
          <w:p w14:paraId="7030B53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(n=1299)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7A4FD8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Prasugrel (n=1333)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F9F42A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P value</w:t>
            </w:r>
          </w:p>
        </w:tc>
      </w:tr>
      <w:tr w:rsidR="003F0B6C" w:rsidRPr="00BC46E4" w14:paraId="0FE3B875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13774F2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Target vessel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5B2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CEF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E35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B74811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F89D65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5F129F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0.718</w:t>
            </w:r>
          </w:p>
        </w:tc>
      </w:tr>
      <w:tr w:rsidR="003F0B6C" w:rsidRPr="00BC46E4" w14:paraId="123DE348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E281E2C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Left main coronary artery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444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8 (2.1)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CD1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9 (2.4)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531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96905C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28 (2.2)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D1053A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29 (2.2)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66600E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398F025F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B450590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LAD coronary artery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5F4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171 (45.5)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B55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157 (42.8)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609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14B565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575 (44.3)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23C837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561 (42.0)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68BBAE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1F16FCA1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E5ABC0C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Left circumflex coronary artery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E16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73 (19.4)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7D2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67 (18.3)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B66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648A12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272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(20.9)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B5C1CA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278 (20.9)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7C5172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32135024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FE679D0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Right coronary artery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0BC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117 (31.1)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F51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122 (33.2)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296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D2746A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403 (31.0)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6CE5B6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446 (33.5)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5950CA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5D76B136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9F63704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Bypass graft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684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7 (1.9)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0F4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 (3.3)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6D83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49EEAD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21 (1.6)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FA4396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19 (1.4)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A3B3BE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0BD8062B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D7954B6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Complex lesion (type B2/C)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99C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221 (58.8)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D143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228 (62.1)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E81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A2B3BC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757 (58.3)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7A2528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779 (58.4)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9451F8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0.963</w:t>
            </w:r>
          </w:p>
        </w:tc>
      </w:tr>
      <w:tr w:rsidR="003F0B6C" w:rsidRPr="00BC46E4" w14:paraId="22A7EA37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9715DF5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More than 1 lesion treated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850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(34.8)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3AB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144 (39.2)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B05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5489B8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438 (33.7)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D8274C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460 (34.5)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0C72373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0.699</w:t>
            </w:r>
          </w:p>
        </w:tc>
      </w:tr>
      <w:tr w:rsidR="003F0B6C" w:rsidRPr="00BC46E4" w14:paraId="409BAFC8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ED10824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TIMI flow grade before the intervention 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FD7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3E9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DCD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167561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45D668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E32094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0.185</w:t>
            </w:r>
          </w:p>
        </w:tc>
      </w:tr>
      <w:tr w:rsidR="003F0B6C" w:rsidRPr="00BC46E4" w14:paraId="206EEA70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FB35935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0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200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120 (31.9</w:t>
            </w: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2A8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110 (30.0)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0DD3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7F64BD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(36.3)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EC952E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474 (35.6)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C7F085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66EE03FB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A248A73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4DB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34 (9.1)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73E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28 (7.6)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E3A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02C2D8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93 (7.2)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9DA768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127 (9.5)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D0293D3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30238DF2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41B979D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3D4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73 (19.4)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6F9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99 (27.0)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CBA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5235AD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288 (22.2)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8604CA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287 (21.5)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169BA7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64B0DD77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F095C85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51D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149 (39.6)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00F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130 (35.4)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D4F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7DC90A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447 (34.4)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3A7217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445 (33.4)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DBC1CF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0B6C" w:rsidRPr="00BC46E4" w14:paraId="4F4558A5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02D0A0D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TIMI flow grade after the intervention 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7D2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E2E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145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B70CFE3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1E3EF5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062899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0.217</w:t>
            </w:r>
          </w:p>
        </w:tc>
      </w:tr>
      <w:tr w:rsidR="003F0B6C" w:rsidRPr="00BC46E4" w14:paraId="1A0EEE0D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2669646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0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B73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 (1.1)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DD9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 (0.3)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12E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53FACA3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 (1.0)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6CED41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 (1.1)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7AA446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0B6C" w:rsidRPr="00BC46E4" w14:paraId="2F7541CA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9CF18E7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1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27E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 (0.5)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24B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 (0.8)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D7A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AFDD51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7 (0.5)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6E5045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 (0.3)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AE4329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3ADEA33D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069BD0C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46F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10 (2.7)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F76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11 (3.0)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E2F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5EB294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40 (3.1)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99BF1B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26 (2.0)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E95FB8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4348A27A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A291C0D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DDB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360 (95.7)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6C4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352 (95.9)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F11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1136DD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1239 (95.4)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168FE2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1288 (96.6)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3EB41D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7D321EE3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48DFAF6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Type of intervention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84A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2FD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2D2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046354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076548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695D5A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1E76F096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6D7E5A7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Drug-eluting stent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DC7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332 (88.3)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557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331 (90.2)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6B5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0.475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CCD539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1165 (89.7)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C0C469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1211 (90.8)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DFC989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0.347</w:t>
            </w:r>
          </w:p>
        </w:tc>
      </w:tr>
      <w:tr w:rsidR="003F0B6C" w:rsidRPr="00BC46E4" w14:paraId="17AA8A10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3F87D83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Bare-metal stent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EE5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 (0.3)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908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5 (1.4)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B6F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D6FBC5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 (0.2)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298CED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 (0.2)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B44C0E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&gt;0.999</w:t>
            </w:r>
          </w:p>
        </w:tc>
      </w:tr>
      <w:tr w:rsidR="003F0B6C" w:rsidRPr="00BC46E4" w14:paraId="29C32A5E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47F3765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Bioresorbable vascular scaffold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DE4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20 (5.3)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39A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20 (5.5)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E98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2A2BCE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79 (6.1)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836997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76 (5.7)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1A9CA5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0.740</w:t>
            </w:r>
          </w:p>
        </w:tc>
      </w:tr>
      <w:tr w:rsidR="003F0B6C" w:rsidRPr="00BC46E4" w14:paraId="34BD50ED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F3D20AE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Drug-eluting balloon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867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 (3.2)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08C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8 (2.2)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7EB3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0.532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B64930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24 (1.9)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C68A8D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19 (1.4)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622164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0.484</w:t>
            </w:r>
          </w:p>
        </w:tc>
      </w:tr>
      <w:tr w:rsidR="003F0B6C" w:rsidRPr="00BC46E4" w14:paraId="05E56DF2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DD6513D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Plain balloon angioplasty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736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13 (3.2)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A23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11 (3.0)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E3A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DFD804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44 (3.4)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12FFF5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34 (2.6)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963D4B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0.250</w:t>
            </w:r>
          </w:p>
        </w:tc>
      </w:tr>
      <w:tr w:rsidR="003F0B6C" w:rsidRPr="00BC46E4" w14:paraId="353A0411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DB78633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Maximal stent diameter (mm)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2F9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3.1 ± 0.5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7E4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3.1 ± 0.5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91F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757022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3.2 ± 0.5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FFA864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3.2 ± 0.5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8FF4D0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0.575</w:t>
            </w:r>
          </w:p>
        </w:tc>
      </w:tr>
      <w:tr w:rsidR="003F0B6C" w:rsidRPr="00BC46E4" w14:paraId="0D7686D1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DBADED0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Total stented length (mm)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94D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32.1 ± 18.0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270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30.6 ± 17.0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AAA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0.277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E4DBF9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30.4 ± 16.5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7BB74B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30.2 ± 17.0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D799C8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0.821</w:t>
            </w:r>
          </w:p>
        </w:tc>
      </w:tr>
      <w:tr w:rsidR="003F0B6C" w:rsidRPr="00BC46E4" w14:paraId="43CF153D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71EB401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Successful PCI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470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364 (96.8)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C2D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361 (98.4)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B63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0.254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7F9F1B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1276 (98.2)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ABBC69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1300 (97.5)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0BF3E8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0.264</w:t>
            </w:r>
          </w:p>
        </w:tc>
      </w:tr>
      <w:tr w:rsidR="003F0B6C" w:rsidRPr="00BC46E4" w14:paraId="51220133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A6EAE95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Periprocedural antithrombotic medication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853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396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A9E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02E8A5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47F048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7DC7FD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1F3E8DB5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094D90C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Aspirin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5AD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336 (89.4)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5D1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329 (89.6)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3E2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B64241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1166 (89.8)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BC8D8C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1202 (90.2)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331F98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0.775</w:t>
            </w:r>
          </w:p>
        </w:tc>
      </w:tr>
      <w:tr w:rsidR="003F0B6C" w:rsidRPr="00BC46E4" w14:paraId="6F105D22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DCF0E2E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Unfractionated heparin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C1B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363 (96.5)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775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346 (94.3)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B60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D7EE77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1217 (93.7)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882674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1249 (93.7)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DC08DE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&gt;0.999</w:t>
            </w:r>
          </w:p>
        </w:tc>
      </w:tr>
      <w:tr w:rsidR="003F0B6C" w:rsidRPr="00BC46E4" w14:paraId="129BA8A5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1D1E479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Low molecular weight heparin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F15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437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(4.5)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5CD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13 </w:t>
            </w: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(3.5)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9F1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0.623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047058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57 (4.4)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FAACD6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52 (3.9)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697A4D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0.595</w:t>
            </w:r>
          </w:p>
        </w:tc>
      </w:tr>
      <w:tr w:rsidR="003F0B6C" w:rsidRPr="00BC46E4" w14:paraId="2A8AE540" w14:textId="77777777" w:rsidTr="00BE76A6">
        <w:tblPrEx>
          <w:tblBorders>
            <w:top w:val="none" w:sz="0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8A181ED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Bivalirudin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65F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19 (5.1)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D0B3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="00437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(8.7)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506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0.067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E76209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106 (8.2)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4CC32A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109 (8.2)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8BFA0D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&gt;0.999</w:t>
            </w:r>
          </w:p>
        </w:tc>
      </w:tr>
      <w:tr w:rsidR="003F0B6C" w:rsidRPr="00BC46E4" w14:paraId="309A6FE6" w14:textId="77777777" w:rsidTr="00BE76A6">
        <w:tblPrEx>
          <w:tblBorders>
            <w:top w:val="none" w:sz="0" w:space="0" w:color="auto"/>
            <w:bottom w:val="single" w:sz="4" w:space="0" w:color="auto"/>
          </w:tblBorders>
        </w:tblPrEx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D898D1C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GPIIb/IIIa inhibitor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423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46 (12.2)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FA8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37 (10.1)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A54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0.415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45D552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173 (13.3)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B98BA7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161 (12.1)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D37613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0.370</w:t>
            </w:r>
          </w:p>
        </w:tc>
      </w:tr>
    </w:tbl>
    <w:p w14:paraId="2FC3A55E" w14:textId="77777777" w:rsidR="00480DC6" w:rsidRPr="00BC46E4" w:rsidRDefault="00480DC6" w:rsidP="0075057F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ABE6AE" w14:textId="77777777" w:rsidR="00480DC6" w:rsidRPr="00BC46E4" w:rsidRDefault="00480DC6" w:rsidP="0075057F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6E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Data are counts (proportions; %) or mean ± standard deviation. </w:t>
      </w:r>
    </w:p>
    <w:p w14:paraId="00BD91C2" w14:textId="77777777" w:rsidR="00480DC6" w:rsidRPr="00BC46E4" w:rsidRDefault="00480DC6" w:rsidP="0075057F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6E4">
        <w:rPr>
          <w:rFonts w:ascii="Times New Roman" w:eastAsia="Calibri" w:hAnsi="Times New Roman" w:cs="Times New Roman"/>
          <w:sz w:val="24"/>
          <w:szCs w:val="24"/>
          <w:lang w:val="en-US"/>
        </w:rPr>
        <w:t>GPIIb/IIIa indicates glycoprotein IIb/IIIa; LAD, left anterior descending; PCI, percutaneous coronary intervention; TIMI, Thrombolysis in Myocardial Infarction</w:t>
      </w:r>
    </w:p>
    <w:p w14:paraId="038D6C5D" w14:textId="77777777" w:rsidR="00480DC6" w:rsidRPr="00BC46E4" w:rsidRDefault="00480DC6" w:rsidP="007505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382D7B1" w14:textId="77777777" w:rsidR="00480DC6" w:rsidRPr="00BC46E4" w:rsidRDefault="00480DC6" w:rsidP="0075057F">
      <w:pPr>
        <w:keepNext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BC46E4">
        <w:rPr>
          <w:rFonts w:ascii="Times New Roman" w:eastAsia="Calibri" w:hAnsi="Times New Roman" w:cs="Times New Roman"/>
          <w:sz w:val="24"/>
          <w:szCs w:val="24"/>
          <w:lang w:val="en-US"/>
        </w:rPr>
        <w:br w:type="page"/>
      </w:r>
      <w:r w:rsidRPr="00BC46E4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 xml:space="preserve"> Table </w:t>
      </w:r>
      <w:r w:rsidR="00BF37D2" w:rsidRPr="00BC46E4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Pr="00BC46E4">
        <w:rPr>
          <w:rFonts w:ascii="Times New Roman" w:eastAsia="Calibri" w:hAnsi="Times New Roman" w:cs="Times New Roman"/>
          <w:b/>
          <w:sz w:val="24"/>
          <w:szCs w:val="24"/>
          <w:lang w:val="en-US"/>
        </w:rPr>
        <w:t>3. Diagnosis and Drug Therapy at Discharge*</w:t>
      </w:r>
    </w:p>
    <w:tbl>
      <w:tblPr>
        <w:tblW w:w="1391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588"/>
        <w:gridCol w:w="1672"/>
        <w:gridCol w:w="1021"/>
        <w:gridCol w:w="1673"/>
        <w:gridCol w:w="1701"/>
        <w:gridCol w:w="904"/>
      </w:tblGrid>
      <w:tr w:rsidR="00480DC6" w:rsidRPr="00BC46E4" w14:paraId="63558C5E" w14:textId="77777777" w:rsidTr="00B00F65">
        <w:trPr>
          <w:trHeight w:val="478"/>
        </w:trPr>
        <w:tc>
          <w:tcPr>
            <w:tcW w:w="5353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D999792" w14:textId="77777777" w:rsidR="00480DC6" w:rsidRPr="00BC46E4" w:rsidRDefault="00480DC6" w:rsidP="0075057F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Characteristic</w:t>
            </w:r>
          </w:p>
          <w:p w14:paraId="785896B3" w14:textId="77777777" w:rsidR="00480DC6" w:rsidRPr="00BC46E4" w:rsidRDefault="00480DC6" w:rsidP="0075057F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9A48FC" w14:textId="77777777" w:rsidR="00480DC6" w:rsidRPr="00BC46E4" w:rsidRDefault="00480DC6" w:rsidP="0075057F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EEE468" w14:textId="77777777" w:rsidR="00480DC6" w:rsidRPr="00BC46E4" w:rsidRDefault="00480DC6" w:rsidP="0075057F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DBD432C" w14:textId="77777777" w:rsidR="00480DC6" w:rsidRPr="00BC46E4" w:rsidRDefault="005F3EE2" w:rsidP="005F3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Diabetes (n=875)</w:t>
            </w:r>
          </w:p>
        </w:tc>
        <w:tc>
          <w:tcPr>
            <w:tcW w:w="4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C6BD37" w14:textId="77777777" w:rsidR="00480DC6" w:rsidRPr="00BC46E4" w:rsidRDefault="005C1A6B" w:rsidP="005C1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 diabetes</w:t>
            </w:r>
            <w:r w:rsidR="00480DC6"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(n=</w:t>
            </w:r>
            <w:r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3078</w:t>
            </w:r>
            <w:r w:rsidR="00480DC6" w:rsidRPr="00BC46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3F0B6C" w:rsidRPr="00BC46E4" w14:paraId="68EB17A0" w14:textId="77777777" w:rsidTr="003F0B6C">
        <w:trPr>
          <w:trHeight w:val="478"/>
        </w:trPr>
        <w:tc>
          <w:tcPr>
            <w:tcW w:w="5353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3F6E47D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1A87BC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Ticagrelor (n=452)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7A08DF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Prasugrel (n=423)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5739B1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P value</w:t>
            </w:r>
          </w:p>
          <w:p w14:paraId="2F12ABE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AC81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Ticagrelor (n=1523)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F32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Prasugrel (n=1555)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0EB5B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P value</w:t>
            </w:r>
          </w:p>
          <w:p w14:paraId="115E478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1838FB04" w14:textId="77777777" w:rsidTr="003F0B6C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DF6528F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Final diagnosis – no. (%)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DC9EDFA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6BB41E0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8DAEEB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0.984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05A39F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F83B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D9D7C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0.655</w:t>
            </w:r>
          </w:p>
        </w:tc>
      </w:tr>
      <w:tr w:rsidR="003F0B6C" w:rsidRPr="00BC46E4" w14:paraId="1D0A202A" w14:textId="77777777" w:rsidTr="003F0B6C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D02819F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Unstable angina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433A14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50 (11.9)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BC0006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47 (12.0)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FDD66A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B82E0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139 (9.9)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553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126 (8.9)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918E3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718E14FA" w14:textId="77777777" w:rsidTr="003F0B6C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8809D9D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NSTEMI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92B45E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211 (50.1)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C25C62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194/386 (49.5)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02E823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46EBA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623 (44.2)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0D7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632 (44.5)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D0064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47839754" w14:textId="77777777" w:rsidTr="003F0B6C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2C7C1B0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STEMI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45E7B5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160 (38.0)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7AEA2E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151/386 (38.5)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1AD54B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97923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646 (45.9)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7E5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662</w:t>
            </w:r>
            <w:r w:rsidR="00437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(46.6)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8B212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519B897E" w14:textId="77777777" w:rsidTr="003F0B6C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E515A58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Therapy at discharge – no. (%)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20399D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F32A07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44274E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CB2C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D18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7A730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B6C" w:rsidRPr="00BC46E4" w14:paraId="39E73D7A" w14:textId="77777777" w:rsidTr="003F0B6C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6F67838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Aspirin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86EF2A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432 (95.6)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35FE99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402 (95.0)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191993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0.828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B02F9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1434 (94.2)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C44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1476 (94.9)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00130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0.394</w:t>
            </w:r>
          </w:p>
        </w:tc>
      </w:tr>
      <w:tr w:rsidR="003F0B6C" w:rsidRPr="00BC46E4" w14:paraId="01D98343" w14:textId="77777777" w:rsidTr="003F0B6C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72E38CD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Ticagrelor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345F54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361 (79.9)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DDE7DE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 (0.7)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B91D99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5576A7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1241 (81.5)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EE1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11 (0.7)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7BA0E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&lt;0.001</w:t>
            </w:r>
          </w:p>
        </w:tc>
      </w:tr>
      <w:tr w:rsidR="003F0B6C" w:rsidRPr="00BC46E4" w14:paraId="06EB704A" w14:textId="77777777" w:rsidTr="003F0B6C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08D48AE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Prasugrel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729FC8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8 (1.8)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0CA86B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342 (80.9)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49DE32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1F56F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13 (0.9)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CDE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1254 (80.6)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FCDE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&lt;0.001</w:t>
            </w:r>
          </w:p>
        </w:tc>
      </w:tr>
      <w:tr w:rsidR="003F0B6C" w:rsidRPr="00BC46E4" w14:paraId="314DFA8A" w14:textId="77777777" w:rsidTr="003F0B6C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13F780A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Clopidogrel</w:t>
            </w:r>
            <w:r w:rsidR="000B35E3" w:rsidRPr="00A7362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AECD11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22 (4.9)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A1EB87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32 (7.6)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798C91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0.129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682372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68 (4.5)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91F3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85 (5.5)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FFE055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0.232</w:t>
            </w:r>
          </w:p>
        </w:tc>
      </w:tr>
      <w:tr w:rsidR="003F0B6C" w:rsidRPr="00BC46E4" w14:paraId="20B7F5D6" w14:textId="77777777" w:rsidTr="003F0B6C">
        <w:tblPrEx>
          <w:tblBorders>
            <w:top w:val="none" w:sz="0" w:space="0" w:color="auto"/>
          </w:tblBorders>
        </w:tblPrEx>
        <w:trPr>
          <w:trHeight w:val="229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7915BEC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Oral anticoagulant drugs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E8033C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20 (4.4)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74EC789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22 (5.2)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449AAB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0.705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7D19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62 (4.1)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E818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78 (5.0)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97A59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0.241</w:t>
            </w:r>
          </w:p>
        </w:tc>
      </w:tr>
      <w:tr w:rsidR="003F0B6C" w:rsidRPr="00BC46E4" w14:paraId="6F9786C0" w14:textId="77777777" w:rsidTr="003F0B6C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C5EC8C4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Beta blocking agents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B48DF9E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385 (85.2)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5B7972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365 (86.3)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F2D81A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0.709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D424D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1256 (82.5)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E38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1280 (82.3)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47B92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0.948</w:t>
            </w:r>
          </w:p>
        </w:tc>
      </w:tr>
      <w:tr w:rsidR="003F0B6C" w:rsidRPr="00BC46E4" w14:paraId="5863E5D5" w14:textId="77777777" w:rsidTr="003F0B6C">
        <w:tblPrEx>
          <w:tblBorders>
            <w:top w:val="none" w:sz="0" w:space="0" w:color="auto"/>
          </w:tblBorders>
        </w:tblPrEx>
        <w:trPr>
          <w:trHeight w:val="248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31975AE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ACE inhibitor/ARB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2C4467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395 (87.4)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ED0FEA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377 (89.1)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2C727D0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0.489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4F1ECA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1264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(83.0)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2F7B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1313 (84.4)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F36484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0.300</w:t>
            </w:r>
          </w:p>
        </w:tc>
      </w:tr>
      <w:tr w:rsidR="003F0B6C" w:rsidRPr="00BC46E4" w14:paraId="1F936E28" w14:textId="77777777" w:rsidTr="003F0B6C">
        <w:tblPrEx>
          <w:tblBorders>
            <w:top w:val="none" w:sz="0" w:space="0" w:color="auto"/>
            <w:bottom w:val="single" w:sz="4" w:space="0" w:color="auto"/>
          </w:tblBorders>
        </w:tblPrEx>
        <w:trPr>
          <w:trHeight w:val="267"/>
        </w:trPr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B74F9F8" w14:textId="77777777" w:rsidR="003F0B6C" w:rsidRPr="00BC46E4" w:rsidRDefault="003F0B6C" w:rsidP="003F0B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Statin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1A64D8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414 (91.6)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3F9E561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396 (93.6)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4E174D6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0.312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4BEADD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1396 (91.7)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182C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1435 (92.3)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721B6F" w14:textId="77777777" w:rsidR="003F0B6C" w:rsidRPr="00BC46E4" w:rsidRDefault="003F0B6C" w:rsidP="003F0B6C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6E4">
              <w:rPr>
                <w:rFonts w:ascii="Times New Roman" w:eastAsia="Calibri" w:hAnsi="Times New Roman" w:cs="Times New Roman"/>
                <w:sz w:val="24"/>
                <w:szCs w:val="24"/>
              </w:rPr>
              <w:t>0.570</w:t>
            </w:r>
          </w:p>
        </w:tc>
      </w:tr>
    </w:tbl>
    <w:p w14:paraId="75F5BF88" w14:textId="77777777" w:rsidR="00A73629" w:rsidRPr="00A73629" w:rsidRDefault="00A73629" w:rsidP="00A73629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3629">
        <w:rPr>
          <w:rFonts w:ascii="Times New Roman" w:eastAsia="Calibri" w:hAnsi="Times New Roman" w:cs="Times New Roman"/>
          <w:sz w:val="24"/>
          <w:szCs w:val="24"/>
        </w:rPr>
        <w:t>Data are counts (proportions; %)</w:t>
      </w:r>
    </w:p>
    <w:p w14:paraId="6FC1BDCA" w14:textId="77777777" w:rsidR="00A73629" w:rsidRPr="00A73629" w:rsidRDefault="00A73629" w:rsidP="00A73629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73629">
        <w:rPr>
          <w:rFonts w:ascii="Times New Roman" w:eastAsia="Calibri" w:hAnsi="Times New Roman" w:cs="Times New Roman"/>
          <w:sz w:val="24"/>
          <w:szCs w:val="24"/>
          <w:lang w:val="en-US"/>
        </w:rPr>
        <w:t>ACE indicates angiotensin-converting enzyme; ARB, angiotensin receptor blocker; NSTEMI, non-ST-segment elevation myocardial infarction;</w:t>
      </w:r>
    </w:p>
    <w:p w14:paraId="769AD21C" w14:textId="77777777" w:rsidR="00A73629" w:rsidRPr="00A73629" w:rsidRDefault="00A73629" w:rsidP="00A73629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73629">
        <w:rPr>
          <w:rFonts w:ascii="Times New Roman" w:eastAsia="Calibri" w:hAnsi="Times New Roman" w:cs="Times New Roman"/>
          <w:sz w:val="24"/>
          <w:szCs w:val="24"/>
          <w:lang w:val="en-US"/>
        </w:rPr>
        <w:t>STEMI, ST-segment elevation myocardial infarction</w:t>
      </w:r>
    </w:p>
    <w:p w14:paraId="2C7B7362" w14:textId="77777777" w:rsidR="00A73629" w:rsidRDefault="00A73629" w:rsidP="00A73629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73629">
        <w:rPr>
          <w:rFonts w:ascii="Times New Roman" w:eastAsia="Calibri" w:hAnsi="Times New Roman" w:cs="Times New Roman"/>
          <w:sz w:val="24"/>
          <w:szCs w:val="24"/>
          <w:lang w:val="en-US"/>
        </w:rPr>
        <w:t>*shown for patients discharged alive;</w:t>
      </w:r>
    </w:p>
    <w:p w14:paraId="17065025" w14:textId="77777777" w:rsidR="0075057F" w:rsidRPr="00A73629" w:rsidRDefault="00A73629" w:rsidP="00A73629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736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† most frequent reason for switching to clopidogrel was indication for oral anticoagulation</w:t>
      </w:r>
    </w:p>
    <w:p w14:paraId="683D513D" w14:textId="77777777" w:rsidR="0075057F" w:rsidRDefault="0075057F" w:rsidP="00A9014B">
      <w:pPr>
        <w:adjustRightInd w:val="0"/>
        <w:spacing w:after="0" w:line="240" w:lineRule="auto"/>
        <w:jc w:val="center"/>
        <w:rPr>
          <w:lang w:val="en-US"/>
        </w:rPr>
      </w:pPr>
    </w:p>
    <w:p w14:paraId="13627B09" w14:textId="77777777" w:rsidR="00F4667A" w:rsidRDefault="00F4667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4416D4FF" w14:textId="77777777" w:rsidR="00E1700B" w:rsidRPr="003F0B6C" w:rsidRDefault="00E1700B" w:rsidP="00E1700B">
      <w:pPr>
        <w:keepNext/>
        <w:adjustRightInd w:val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F0B6C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 xml:space="preserve">Table S4. </w:t>
      </w:r>
      <w:r w:rsidRPr="003F0B6C">
        <w:rPr>
          <w:rFonts w:ascii="Times New Roman" w:eastAsia="Calibri" w:hAnsi="Times New Roman" w:cs="Times New Roman"/>
          <w:sz w:val="24"/>
          <w:szCs w:val="24"/>
          <w:lang w:val="en-US"/>
        </w:rPr>
        <w:t>Timing of occurrence of definite or probable stent thrombosis and myocardial infarction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410"/>
        <w:gridCol w:w="2693"/>
        <w:gridCol w:w="2693"/>
        <w:gridCol w:w="2374"/>
      </w:tblGrid>
      <w:tr w:rsidR="000E0A79" w:rsidRPr="003F0B6C" w14:paraId="5588F1FB" w14:textId="77777777" w:rsidTr="000E0A79">
        <w:tc>
          <w:tcPr>
            <w:tcW w:w="4106" w:type="dxa"/>
            <w:vMerge w:val="restart"/>
          </w:tcPr>
          <w:p w14:paraId="3AF6147A" w14:textId="77777777" w:rsidR="000E0A79" w:rsidRPr="003F0B6C" w:rsidRDefault="000E0A7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Time</w:t>
            </w:r>
          </w:p>
        </w:tc>
        <w:tc>
          <w:tcPr>
            <w:tcW w:w="5103" w:type="dxa"/>
            <w:gridSpan w:val="2"/>
          </w:tcPr>
          <w:p w14:paraId="0D7C5DFF" w14:textId="77777777" w:rsidR="000E0A79" w:rsidRPr="003F0B6C" w:rsidRDefault="000E0A79" w:rsidP="00DC51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Diabetes (n=892)</w:t>
            </w:r>
          </w:p>
        </w:tc>
        <w:tc>
          <w:tcPr>
            <w:tcW w:w="5067" w:type="dxa"/>
            <w:gridSpan w:val="2"/>
          </w:tcPr>
          <w:p w14:paraId="772EB2A9" w14:textId="77777777" w:rsidR="000E0A79" w:rsidRPr="003F0B6C" w:rsidRDefault="000E0A79" w:rsidP="00DC51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 diabetes (n=3124)</w:t>
            </w:r>
          </w:p>
        </w:tc>
      </w:tr>
      <w:tr w:rsidR="003F0B6C" w:rsidRPr="003F0B6C" w14:paraId="399DC0AE" w14:textId="77777777" w:rsidTr="000E0A79">
        <w:tc>
          <w:tcPr>
            <w:tcW w:w="4106" w:type="dxa"/>
            <w:vMerge/>
          </w:tcPr>
          <w:p w14:paraId="01B81C4E" w14:textId="77777777" w:rsidR="003F0B6C" w:rsidRPr="003F0B6C" w:rsidRDefault="003F0B6C" w:rsidP="003F0B6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F2281F4" w14:textId="77777777" w:rsidR="003F0B6C" w:rsidRPr="003F0B6C" w:rsidRDefault="003F0B6C" w:rsidP="003F0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6C">
              <w:rPr>
                <w:rFonts w:ascii="Times New Roman" w:hAnsi="Times New Roman" w:cs="Times New Roman"/>
                <w:sz w:val="24"/>
                <w:szCs w:val="24"/>
              </w:rPr>
              <w:t>Ticagrelor (n=463)</w:t>
            </w:r>
          </w:p>
        </w:tc>
        <w:tc>
          <w:tcPr>
            <w:tcW w:w="2693" w:type="dxa"/>
          </w:tcPr>
          <w:p w14:paraId="39E0282A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F0B6C">
              <w:rPr>
                <w:rFonts w:ascii="Times New Roman" w:hAnsi="Times New Roman" w:cs="Times New Roman"/>
                <w:sz w:val="24"/>
                <w:szCs w:val="24"/>
              </w:rPr>
              <w:t>Prasugrel (n=429)</w:t>
            </w:r>
          </w:p>
        </w:tc>
        <w:tc>
          <w:tcPr>
            <w:tcW w:w="2693" w:type="dxa"/>
            <w:vAlign w:val="center"/>
          </w:tcPr>
          <w:p w14:paraId="6771986A" w14:textId="77777777" w:rsidR="003F0B6C" w:rsidRPr="003F0B6C" w:rsidRDefault="003F0B6C" w:rsidP="003F0B6C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</w:rPr>
              <w:t>Ticagrelor (n=1548)</w:t>
            </w:r>
          </w:p>
        </w:tc>
        <w:tc>
          <w:tcPr>
            <w:tcW w:w="2374" w:type="dxa"/>
            <w:vAlign w:val="center"/>
          </w:tcPr>
          <w:p w14:paraId="0BF10D74" w14:textId="77777777" w:rsidR="003F0B6C" w:rsidRPr="003F0B6C" w:rsidRDefault="003F0B6C" w:rsidP="003F0B6C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</w:rPr>
              <w:t>Prasugrel (n=1576)</w:t>
            </w:r>
          </w:p>
        </w:tc>
      </w:tr>
      <w:tr w:rsidR="003F0B6C" w:rsidRPr="00433C8A" w14:paraId="5A6B4926" w14:textId="77777777" w:rsidTr="000E0A79">
        <w:tc>
          <w:tcPr>
            <w:tcW w:w="4106" w:type="dxa"/>
          </w:tcPr>
          <w:p w14:paraId="73F5AD1F" w14:textId="77777777" w:rsidR="003F0B6C" w:rsidRPr="003F0B6C" w:rsidRDefault="003F0B6C" w:rsidP="003F0B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Definite or probable stent thrombosis</w:t>
            </w:r>
          </w:p>
        </w:tc>
        <w:tc>
          <w:tcPr>
            <w:tcW w:w="2410" w:type="dxa"/>
          </w:tcPr>
          <w:p w14:paraId="32FF7D44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0E756F0D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4A31F4ED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4" w:type="dxa"/>
          </w:tcPr>
          <w:p w14:paraId="798E1291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0B6C" w:rsidRPr="003F0B6C" w14:paraId="24C75B06" w14:textId="77777777" w:rsidTr="000E0A79">
        <w:tc>
          <w:tcPr>
            <w:tcW w:w="4106" w:type="dxa"/>
          </w:tcPr>
          <w:p w14:paraId="60E21609" w14:textId="77777777" w:rsidR="003F0B6C" w:rsidRPr="003F0B6C" w:rsidRDefault="003F0B6C" w:rsidP="003F0B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≤24 hours</w:t>
            </w:r>
          </w:p>
        </w:tc>
        <w:tc>
          <w:tcPr>
            <w:tcW w:w="2410" w:type="dxa"/>
          </w:tcPr>
          <w:p w14:paraId="5C74524D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</w:tcPr>
          <w:p w14:paraId="7586378D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</w:tcPr>
          <w:p w14:paraId="390E056C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374" w:type="dxa"/>
          </w:tcPr>
          <w:p w14:paraId="69F2DAF8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F0B6C" w:rsidRPr="003F0B6C" w14:paraId="03AA72F0" w14:textId="77777777" w:rsidTr="000E0A79">
        <w:tc>
          <w:tcPr>
            <w:tcW w:w="4106" w:type="dxa"/>
          </w:tcPr>
          <w:p w14:paraId="0EFBC37C" w14:textId="77777777" w:rsidR="003F0B6C" w:rsidRPr="003F0B6C" w:rsidRDefault="003F0B6C" w:rsidP="003F0B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&gt;24 hours to 30 days</w:t>
            </w:r>
          </w:p>
        </w:tc>
        <w:tc>
          <w:tcPr>
            <w:tcW w:w="2410" w:type="dxa"/>
          </w:tcPr>
          <w:p w14:paraId="6B871867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</w:tcPr>
          <w:p w14:paraId="38C015A3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93" w:type="dxa"/>
          </w:tcPr>
          <w:p w14:paraId="3C0AEF8C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374" w:type="dxa"/>
          </w:tcPr>
          <w:p w14:paraId="0A94A5D4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3F0B6C" w:rsidRPr="003F0B6C" w14:paraId="24671CCC" w14:textId="77777777" w:rsidTr="000E0A79">
        <w:tc>
          <w:tcPr>
            <w:tcW w:w="4106" w:type="dxa"/>
          </w:tcPr>
          <w:p w14:paraId="3D080827" w14:textId="77777777" w:rsidR="003F0B6C" w:rsidRPr="003F0B6C" w:rsidRDefault="003F0B6C" w:rsidP="003F0B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&gt;30 days to 1 year</w:t>
            </w:r>
          </w:p>
        </w:tc>
        <w:tc>
          <w:tcPr>
            <w:tcW w:w="2410" w:type="dxa"/>
          </w:tcPr>
          <w:p w14:paraId="782D8506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693" w:type="dxa"/>
          </w:tcPr>
          <w:p w14:paraId="0555349D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</w:tcPr>
          <w:p w14:paraId="30D02136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74" w:type="dxa"/>
          </w:tcPr>
          <w:p w14:paraId="3B96D49B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F0B6C" w:rsidRPr="003F0B6C" w14:paraId="7CD4A150" w14:textId="77777777" w:rsidTr="000E0A79">
        <w:tc>
          <w:tcPr>
            <w:tcW w:w="4106" w:type="dxa"/>
          </w:tcPr>
          <w:p w14:paraId="22C87376" w14:textId="77777777" w:rsidR="003F0B6C" w:rsidRPr="003F0B6C" w:rsidRDefault="003F0B6C" w:rsidP="003F0B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Total number</w:t>
            </w:r>
          </w:p>
        </w:tc>
        <w:tc>
          <w:tcPr>
            <w:tcW w:w="2410" w:type="dxa"/>
          </w:tcPr>
          <w:p w14:paraId="7F0235ED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93" w:type="dxa"/>
          </w:tcPr>
          <w:p w14:paraId="12DBD0EB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693" w:type="dxa"/>
          </w:tcPr>
          <w:p w14:paraId="15EA78C0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374" w:type="dxa"/>
          </w:tcPr>
          <w:p w14:paraId="5F272C20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3F0B6C" w:rsidRPr="003F0B6C" w14:paraId="6070FC8E" w14:textId="77777777" w:rsidTr="000E0A79">
        <w:tc>
          <w:tcPr>
            <w:tcW w:w="4106" w:type="dxa"/>
          </w:tcPr>
          <w:p w14:paraId="043D642A" w14:textId="77777777" w:rsidR="003F0B6C" w:rsidRPr="003F0B6C" w:rsidRDefault="003F0B6C" w:rsidP="003F0B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Myocardial infarction</w:t>
            </w:r>
          </w:p>
        </w:tc>
        <w:tc>
          <w:tcPr>
            <w:tcW w:w="2410" w:type="dxa"/>
          </w:tcPr>
          <w:p w14:paraId="42385A87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06F5BA86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1C01531D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4" w:type="dxa"/>
          </w:tcPr>
          <w:p w14:paraId="79DE4E5B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0B6C" w:rsidRPr="003F0B6C" w14:paraId="3528197E" w14:textId="77777777" w:rsidTr="000E0A79">
        <w:tc>
          <w:tcPr>
            <w:tcW w:w="4106" w:type="dxa"/>
          </w:tcPr>
          <w:p w14:paraId="6995CB65" w14:textId="77777777" w:rsidR="003F0B6C" w:rsidRPr="003F0B6C" w:rsidRDefault="003F0B6C" w:rsidP="003F0B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≤24 hours</w:t>
            </w:r>
          </w:p>
        </w:tc>
        <w:tc>
          <w:tcPr>
            <w:tcW w:w="2410" w:type="dxa"/>
          </w:tcPr>
          <w:p w14:paraId="32A8CC8A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693" w:type="dxa"/>
          </w:tcPr>
          <w:p w14:paraId="10BBA4B9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693" w:type="dxa"/>
          </w:tcPr>
          <w:p w14:paraId="09AB17D7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374" w:type="dxa"/>
          </w:tcPr>
          <w:p w14:paraId="03BE434A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3F0B6C" w:rsidRPr="003F0B6C" w14:paraId="21223A17" w14:textId="77777777" w:rsidTr="000E0A79">
        <w:tc>
          <w:tcPr>
            <w:tcW w:w="4106" w:type="dxa"/>
          </w:tcPr>
          <w:p w14:paraId="5E66C5AC" w14:textId="77777777" w:rsidR="003F0B6C" w:rsidRPr="003F0B6C" w:rsidRDefault="003F0B6C" w:rsidP="003F0B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&gt;24 hours to 30 days</w:t>
            </w:r>
          </w:p>
        </w:tc>
        <w:tc>
          <w:tcPr>
            <w:tcW w:w="2410" w:type="dxa"/>
          </w:tcPr>
          <w:p w14:paraId="27BA3B97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693" w:type="dxa"/>
          </w:tcPr>
          <w:p w14:paraId="2E8CDD1C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93" w:type="dxa"/>
          </w:tcPr>
          <w:p w14:paraId="6D0B390F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374" w:type="dxa"/>
          </w:tcPr>
          <w:p w14:paraId="6298F600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3F0B6C" w:rsidRPr="003F0B6C" w14:paraId="78AAB0DF" w14:textId="77777777" w:rsidTr="000E0A79">
        <w:tc>
          <w:tcPr>
            <w:tcW w:w="4106" w:type="dxa"/>
          </w:tcPr>
          <w:p w14:paraId="391B40E6" w14:textId="77777777" w:rsidR="003F0B6C" w:rsidRPr="003F0B6C" w:rsidRDefault="003F0B6C" w:rsidP="003F0B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&gt;30 days to 1 year</w:t>
            </w:r>
          </w:p>
        </w:tc>
        <w:tc>
          <w:tcPr>
            <w:tcW w:w="2410" w:type="dxa"/>
          </w:tcPr>
          <w:p w14:paraId="65958866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693" w:type="dxa"/>
          </w:tcPr>
          <w:p w14:paraId="349EB0E2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693" w:type="dxa"/>
          </w:tcPr>
          <w:p w14:paraId="46F4A34C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374" w:type="dxa"/>
          </w:tcPr>
          <w:p w14:paraId="3229623E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</w:tr>
      <w:tr w:rsidR="003F0B6C" w:rsidRPr="003F0B6C" w14:paraId="10B3960C" w14:textId="77777777" w:rsidTr="000E0A79">
        <w:tc>
          <w:tcPr>
            <w:tcW w:w="4106" w:type="dxa"/>
          </w:tcPr>
          <w:p w14:paraId="47505EBC" w14:textId="77777777" w:rsidR="003F0B6C" w:rsidRPr="003F0B6C" w:rsidRDefault="003F0B6C" w:rsidP="003F0B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Total number</w:t>
            </w:r>
          </w:p>
        </w:tc>
        <w:tc>
          <w:tcPr>
            <w:tcW w:w="2410" w:type="dxa"/>
          </w:tcPr>
          <w:p w14:paraId="714F38B9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693" w:type="dxa"/>
          </w:tcPr>
          <w:p w14:paraId="073FF6AA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693" w:type="dxa"/>
          </w:tcPr>
          <w:p w14:paraId="3BE68923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374" w:type="dxa"/>
          </w:tcPr>
          <w:p w14:paraId="1627D218" w14:textId="77777777" w:rsidR="003F0B6C" w:rsidRPr="003F0B6C" w:rsidRDefault="003F0B6C" w:rsidP="003F0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F0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</w:tbl>
    <w:p w14:paraId="54900E18" w14:textId="77777777" w:rsidR="00E1700B" w:rsidRPr="003F0B6C" w:rsidRDefault="000E0A79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F0B6C">
        <w:rPr>
          <w:rFonts w:ascii="Times New Roman" w:eastAsia="Calibri" w:hAnsi="Times New Roman" w:cs="Times New Roman"/>
          <w:sz w:val="24"/>
          <w:szCs w:val="24"/>
          <w:lang w:val="en-US"/>
        </w:rPr>
        <w:t>Data are number of events</w:t>
      </w:r>
      <w:r w:rsidR="00E1700B" w:rsidRPr="003F0B6C">
        <w:rPr>
          <w:rFonts w:ascii="Times New Roman" w:eastAsia="Calibri" w:hAnsi="Times New Roman" w:cs="Times New Roman"/>
          <w:b/>
          <w:sz w:val="24"/>
          <w:szCs w:val="24"/>
          <w:lang w:val="en-US"/>
        </w:rPr>
        <w:br w:type="page"/>
      </w:r>
    </w:p>
    <w:p w14:paraId="3579905A" w14:textId="77777777" w:rsidR="00F4667A" w:rsidRPr="00F4667A" w:rsidRDefault="00F4667A" w:rsidP="00F4667A">
      <w:pPr>
        <w:keepNext/>
        <w:adjustRightInd w:val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F4667A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="00E1700B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F4667A">
        <w:rPr>
          <w:rFonts w:ascii="Times New Roman" w:eastAsia="Calibri" w:hAnsi="Times New Roman" w:cs="Times New Roman"/>
          <w:b/>
          <w:sz w:val="24"/>
          <w:szCs w:val="24"/>
          <w:lang w:val="en-US"/>
        </w:rPr>
        <w:t>. Antithrombotic Medication After Discontinuation of Study Drug During Follow-up</w:t>
      </w:r>
      <w:r w:rsidR="00DF52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*</w:t>
      </w:r>
    </w:p>
    <w:tbl>
      <w:tblPr>
        <w:tblW w:w="14029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1418"/>
        <w:gridCol w:w="1275"/>
        <w:gridCol w:w="1418"/>
        <w:gridCol w:w="1843"/>
        <w:gridCol w:w="1021"/>
      </w:tblGrid>
      <w:tr w:rsidR="00774C65" w:rsidRPr="00373B6A" w14:paraId="0A617E26" w14:textId="77777777" w:rsidTr="00F8504F">
        <w:tc>
          <w:tcPr>
            <w:tcW w:w="5353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3A39A2D" w14:textId="77777777" w:rsidR="00774C65" w:rsidRPr="00774C65" w:rsidRDefault="00774C65" w:rsidP="00F8504F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Drug</w:t>
            </w:r>
          </w:p>
          <w:p w14:paraId="065E5CC9" w14:textId="77777777" w:rsidR="00774C65" w:rsidRPr="00774C65" w:rsidRDefault="00774C65" w:rsidP="00F8504F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1A337A" w14:textId="77777777" w:rsidR="00774C65" w:rsidRPr="00774C65" w:rsidRDefault="00774C65" w:rsidP="00F8504F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135D2D2" w14:textId="77777777" w:rsidR="00774C65" w:rsidRPr="00774C65" w:rsidRDefault="00774C65" w:rsidP="00F8504F">
            <w:pPr>
              <w:rPr>
                <w:rFonts w:ascii="Times New Roman" w:hAnsi="Times New Roman" w:cs="Times New Roman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Diabetes (n=116)</w:t>
            </w:r>
          </w:p>
        </w:tc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E593BD" w14:textId="77777777" w:rsidR="00774C65" w:rsidRPr="00774C65" w:rsidRDefault="00774C65" w:rsidP="00F8504F">
            <w:pPr>
              <w:rPr>
                <w:rFonts w:ascii="Times New Roman" w:hAnsi="Times New Roman" w:cs="Times New Roman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No diabetes (n=326)</w:t>
            </w:r>
          </w:p>
        </w:tc>
      </w:tr>
      <w:tr w:rsidR="00774C65" w:rsidRPr="00373B6A" w14:paraId="71F0B38A" w14:textId="77777777" w:rsidTr="00F8504F">
        <w:tc>
          <w:tcPr>
            <w:tcW w:w="5353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9312C07" w14:textId="77777777" w:rsidR="00774C65" w:rsidRPr="00774C65" w:rsidRDefault="00774C65" w:rsidP="00F8504F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E72F989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Ticagrelor (n=63)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BDBD350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Prasugrel (n=53)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B467609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P value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2B062B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Ticagrelor (n=180)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83BA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Prasugrel (n=146)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0243D3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P value</w:t>
            </w:r>
          </w:p>
        </w:tc>
      </w:tr>
      <w:tr w:rsidR="00774C65" w:rsidRPr="00373B6A" w14:paraId="1D019CA7" w14:textId="77777777" w:rsidTr="00F8504F">
        <w:tblPrEx>
          <w:tblBorders>
            <w:top w:val="none" w:sz="0" w:space="0" w:color="auto"/>
          </w:tblBorders>
        </w:tblPrEx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A24B6B0" w14:textId="77777777" w:rsidR="00774C65" w:rsidRPr="00774C65" w:rsidRDefault="00774C65" w:rsidP="00F8504F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Ticagrelor – no.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D814173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2B8A581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6 (11.3)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0B21FB5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0.008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770E11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5534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8 (5.5)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C87A1D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0.001</w:t>
            </w:r>
          </w:p>
        </w:tc>
      </w:tr>
      <w:tr w:rsidR="00774C65" w:rsidRPr="00373B6A" w14:paraId="6EA2DB4B" w14:textId="77777777" w:rsidTr="00F8504F">
        <w:tblPrEx>
          <w:tblBorders>
            <w:top w:val="none" w:sz="0" w:space="0" w:color="auto"/>
          </w:tblBorders>
        </w:tblPrEx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1E37EA5" w14:textId="77777777" w:rsidR="00774C65" w:rsidRPr="00774C65" w:rsidRDefault="00774C65" w:rsidP="00F8504F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Prasugrel – no.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6F7E60D2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10 (15.9)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E55532C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A6494A2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0.002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A6AF91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25 (13.9)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27AA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C0845E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&lt;0.001</w:t>
            </w:r>
          </w:p>
        </w:tc>
      </w:tr>
      <w:tr w:rsidR="00774C65" w:rsidRPr="00373B6A" w14:paraId="0D464135" w14:textId="77777777" w:rsidTr="00F8504F">
        <w:tblPrEx>
          <w:tblBorders>
            <w:top w:val="none" w:sz="0" w:space="0" w:color="auto"/>
          </w:tblBorders>
        </w:tblPrEx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78C3C195" w14:textId="77777777" w:rsidR="00774C65" w:rsidRPr="00774C65" w:rsidRDefault="00774C65" w:rsidP="00F8504F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Clopidogrel – no.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8E65C5B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33 (52.4)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871BFD7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27 (50.9)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ED9581A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&gt;0.99</w:t>
            </w:r>
            <w:r w:rsidR="005240A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158B60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86 (47.8)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C8FA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79 (54.1)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7AF643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0.305</w:t>
            </w:r>
          </w:p>
        </w:tc>
      </w:tr>
      <w:tr w:rsidR="00774C65" w:rsidRPr="00373B6A" w14:paraId="665787FB" w14:textId="77777777" w:rsidTr="00F8504F">
        <w:tblPrEx>
          <w:tblBorders>
            <w:top w:val="none" w:sz="0" w:space="0" w:color="auto"/>
          </w:tblBorders>
        </w:tblPrEx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B405210" w14:textId="77777777" w:rsidR="00774C65" w:rsidRPr="00774C65" w:rsidRDefault="00774C65" w:rsidP="00F8504F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Oral anticoagulation – no.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D991869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15 (23.8)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054A63DE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12 (22.6)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11E5E875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&gt;0.999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139BCF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25 (13.9)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1CBB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32 (21.9)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54052E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0.008</w:t>
            </w:r>
          </w:p>
        </w:tc>
      </w:tr>
      <w:tr w:rsidR="00774C65" w:rsidRPr="00373B6A" w14:paraId="0A995A86" w14:textId="77777777" w:rsidTr="00F8504F">
        <w:tblPrEx>
          <w:tblBorders>
            <w:top w:val="none" w:sz="0" w:space="0" w:color="auto"/>
            <w:bottom w:val="single" w:sz="4" w:space="0" w:color="auto"/>
          </w:tblBorders>
        </w:tblPrEx>
        <w:tc>
          <w:tcPr>
            <w:tcW w:w="5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470892F5" w14:textId="77777777" w:rsidR="00774C65" w:rsidRPr="00774C65" w:rsidRDefault="00774C65" w:rsidP="00F8504F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2EFA94A0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16 (25.4)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5E248CE0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15 (28.3)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08" w:type="nil"/>
              <w:right w:w="108" w:type="nil"/>
            </w:tcMar>
            <w:vAlign w:val="center"/>
          </w:tcPr>
          <w:p w14:paraId="3B3D438B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0.887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5500FD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62 (33.6)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CD6B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49 (34.4)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BC3DBE" w14:textId="77777777" w:rsidR="00774C65" w:rsidRPr="00774C65" w:rsidRDefault="00774C65" w:rsidP="00F8504F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C65">
              <w:rPr>
                <w:rFonts w:ascii="Times New Roman" w:eastAsia="Calibri" w:hAnsi="Times New Roman" w:cs="Times New Roman"/>
                <w:sz w:val="24"/>
                <w:szCs w:val="24"/>
              </w:rPr>
              <w:t>0.960</w:t>
            </w:r>
          </w:p>
        </w:tc>
      </w:tr>
    </w:tbl>
    <w:p w14:paraId="38327883" w14:textId="77777777" w:rsidR="00774C65" w:rsidRPr="00373B6A" w:rsidRDefault="00774C65" w:rsidP="000B35E3">
      <w:pPr>
        <w:adjustRightInd w:val="0"/>
        <w:spacing w:after="0" w:line="240" w:lineRule="auto"/>
        <w:rPr>
          <w:rFonts w:eastAsia="Calibri"/>
          <w:sz w:val="24"/>
          <w:szCs w:val="24"/>
        </w:rPr>
      </w:pPr>
    </w:p>
    <w:p w14:paraId="0345FC0C" w14:textId="77777777" w:rsidR="00F4667A" w:rsidRDefault="00F4667A" w:rsidP="000B35E3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74C65">
        <w:rPr>
          <w:rFonts w:ascii="Times New Roman" w:eastAsia="Calibri" w:hAnsi="Times New Roman" w:cs="Times New Roman"/>
          <w:sz w:val="24"/>
          <w:szCs w:val="24"/>
          <w:lang w:val="en-US"/>
        </w:rPr>
        <w:t>Data are counts (proportions; %)</w:t>
      </w:r>
    </w:p>
    <w:p w14:paraId="2EE300F9" w14:textId="77777777" w:rsidR="00F8504F" w:rsidRPr="00774C65" w:rsidRDefault="00F8504F" w:rsidP="000B35E3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504F">
        <w:rPr>
          <w:rFonts w:ascii="Times New Roman" w:hAnsi="Times New Roman" w:cs="Times New Roman"/>
          <w:sz w:val="24"/>
          <w:szCs w:val="24"/>
          <w:lang w:val="en-US"/>
        </w:rPr>
        <w:t>Oral anticoagulation is also given in combination with a P2Y12 inhibitor</w:t>
      </w:r>
    </w:p>
    <w:p w14:paraId="55A9152B" w14:textId="77777777" w:rsidR="00DF52CD" w:rsidRPr="00BC46E4" w:rsidRDefault="00DF52CD" w:rsidP="000B35E3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46E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*Shown for patients discharged alive </w:t>
      </w:r>
    </w:p>
    <w:p w14:paraId="529DF2C1" w14:textId="77777777" w:rsidR="00A9014B" w:rsidRDefault="000B35E3" w:rsidP="003F0B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object w:dxaOrig="8842" w:dyaOrig="4953" w14:anchorId="5551F2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1.4pt;height:257.4pt" o:ole="">
            <v:imagedata r:id="rId10" o:title=""/>
          </v:shape>
          <o:OLEObject Type="Embed" ProgID="PowerPoint.Show.12" ShapeID="_x0000_i1025" DrawAspect="Content" ObjectID="_1657457147" r:id="rId11"/>
        </w:object>
      </w:r>
    </w:p>
    <w:p w14:paraId="1076B1AE" w14:textId="77777777" w:rsidR="003F0B6C" w:rsidRDefault="003F0B6C" w:rsidP="003F0B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48B1257" w14:textId="77777777" w:rsidR="003F0B6C" w:rsidRPr="007850DD" w:rsidRDefault="003F0B6C" w:rsidP="003F0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50DD">
        <w:rPr>
          <w:rFonts w:ascii="Times New Roman" w:hAnsi="Times New Roman" w:cs="Times New Roman"/>
          <w:b/>
          <w:sz w:val="24"/>
          <w:szCs w:val="24"/>
          <w:lang w:val="en-US"/>
        </w:rPr>
        <w:t>Supplementary Figure 1.</w:t>
      </w:r>
      <w:r w:rsidRPr="007850DD">
        <w:rPr>
          <w:sz w:val="24"/>
          <w:szCs w:val="24"/>
          <w:lang w:val="en-US"/>
        </w:rPr>
        <w:t xml:space="preserve"> </w:t>
      </w:r>
      <w:r w:rsidRPr="007850DD">
        <w:rPr>
          <w:rFonts w:ascii="Times New Roman" w:hAnsi="Times New Roman" w:cs="Times New Roman"/>
          <w:sz w:val="24"/>
          <w:szCs w:val="24"/>
          <w:lang w:val="en-US"/>
        </w:rPr>
        <w:t xml:space="preserve">One-Year Cumulative Incidences and Hazard Ratios with 95% confidence Interval [CI] of the Primary </w:t>
      </w:r>
      <w:r w:rsidR="00DA2C17">
        <w:rPr>
          <w:rFonts w:ascii="Times New Roman" w:hAnsi="Times New Roman" w:cs="Times New Roman"/>
          <w:sz w:val="24"/>
          <w:szCs w:val="24"/>
          <w:lang w:val="en-US"/>
        </w:rPr>
        <w:t>Endpoint</w:t>
      </w:r>
      <w:r w:rsidRPr="007850DD">
        <w:rPr>
          <w:rFonts w:ascii="Times New Roman" w:hAnsi="Times New Roman" w:cs="Times New Roman"/>
          <w:sz w:val="24"/>
          <w:szCs w:val="24"/>
          <w:lang w:val="en-US"/>
        </w:rPr>
        <w:t xml:space="preserve"> of Death, Myocardial Infarction, or Stroke in Subgroups of Patients with </w:t>
      </w:r>
      <w:r w:rsidR="00696D19">
        <w:rPr>
          <w:rFonts w:ascii="Times New Roman" w:hAnsi="Times New Roman" w:cs="Times New Roman"/>
          <w:sz w:val="24"/>
          <w:szCs w:val="24"/>
          <w:lang w:val="en-US"/>
        </w:rPr>
        <w:t>diabetes mellitus</w:t>
      </w:r>
      <w:r w:rsidRPr="007850DD">
        <w:rPr>
          <w:rFonts w:ascii="Times New Roman" w:hAnsi="Times New Roman" w:cs="Times New Roman"/>
          <w:sz w:val="24"/>
          <w:szCs w:val="24"/>
          <w:lang w:val="en-US"/>
        </w:rPr>
        <w:t xml:space="preserve">. CABG=coronary artery bypass graft; CI=confidence interval; NSTEMI=non-ST-segment elevation myocardial infarction; PCI=percutaneous coronary intervention; </w:t>
      </w:r>
      <w:r w:rsidR="00696D19">
        <w:rPr>
          <w:rFonts w:ascii="Times New Roman" w:hAnsi="Times New Roman" w:cs="Times New Roman"/>
          <w:sz w:val="24"/>
          <w:szCs w:val="24"/>
          <w:lang w:val="en-US"/>
        </w:rPr>
        <w:t xml:space="preserve">Pint=P for interaction; </w:t>
      </w:r>
      <w:r w:rsidRPr="007850DD">
        <w:rPr>
          <w:rFonts w:ascii="Times New Roman" w:hAnsi="Times New Roman" w:cs="Times New Roman"/>
          <w:sz w:val="24"/>
          <w:szCs w:val="24"/>
          <w:lang w:val="en-US"/>
        </w:rPr>
        <w:t>STEMI=ST-segment elevation myocardial infarction.</w:t>
      </w:r>
    </w:p>
    <w:p w14:paraId="564B5AF0" w14:textId="77777777" w:rsidR="006802F7" w:rsidRPr="007850DD" w:rsidRDefault="002445C5" w:rsidP="003F0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50DD">
        <w:rPr>
          <w:rFonts w:ascii="Times New Roman" w:hAnsi="Times New Roman" w:cs="Times New Roman"/>
          <w:sz w:val="24"/>
          <w:szCs w:val="24"/>
          <w:lang w:val="en-US"/>
        </w:rPr>
        <w:t>* The risk estimates</w:t>
      </w:r>
      <w:r w:rsidR="006802F7">
        <w:rPr>
          <w:rFonts w:ascii="Times New Roman" w:hAnsi="Times New Roman" w:cs="Times New Roman"/>
          <w:sz w:val="24"/>
          <w:szCs w:val="24"/>
          <w:lang w:val="en-US"/>
        </w:rPr>
        <w:t xml:space="preserve"> (hazard ratios with 95% confidence interval)</w:t>
      </w:r>
      <w:r w:rsidRPr="007850DD">
        <w:rPr>
          <w:rFonts w:ascii="Times New Roman" w:hAnsi="Times New Roman" w:cs="Times New Roman"/>
          <w:sz w:val="24"/>
          <w:szCs w:val="24"/>
          <w:lang w:val="en-US"/>
        </w:rPr>
        <w:t xml:space="preserve"> are obtained from the Cox proportional hazard model after adjustment for the participating center and stratification according to the clinical presentation (acute coronary syndrome with or without ST-segment elevation) and with the interaction term entered into the model.</w:t>
      </w:r>
      <w:r w:rsidR="009F3B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802F7">
        <w:rPr>
          <w:rFonts w:ascii="Times New Roman" w:hAnsi="Times New Roman" w:cs="Times New Roman"/>
          <w:sz w:val="24"/>
          <w:szCs w:val="24"/>
          <w:lang w:val="en-US"/>
        </w:rPr>
        <w:t>The completeness of baseline data</w:t>
      </w:r>
      <w:r w:rsidR="00CB5F70">
        <w:rPr>
          <w:rFonts w:ascii="Times New Roman" w:hAnsi="Times New Roman" w:cs="Times New Roman"/>
          <w:sz w:val="24"/>
          <w:szCs w:val="24"/>
          <w:lang w:val="en-US"/>
        </w:rPr>
        <w:t xml:space="preserve"> (denominators in the events/total ratio)</w:t>
      </w:r>
      <w:r w:rsidR="006802F7">
        <w:rPr>
          <w:rFonts w:ascii="Times New Roman" w:hAnsi="Times New Roman" w:cs="Times New Roman"/>
          <w:sz w:val="24"/>
          <w:szCs w:val="24"/>
          <w:lang w:val="en-US"/>
        </w:rPr>
        <w:t xml:space="preserve"> is shown in Table 1.</w:t>
      </w:r>
    </w:p>
    <w:p w14:paraId="23EC8008" w14:textId="77777777" w:rsidR="00A868C7" w:rsidRDefault="00A868C7" w:rsidP="003F0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F87A63" w14:textId="77777777" w:rsidR="00D72B68" w:rsidRDefault="0026264C" w:rsidP="00D72B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object w:dxaOrig="10225" w:dyaOrig="5729" w14:anchorId="43C67DC0">
          <v:shape id="_x0000_i1026" type="#_x0000_t75" style="width:569.4pt;height:311.4pt" o:ole="">
            <v:imagedata r:id="rId12" o:title=""/>
          </v:shape>
          <o:OLEObject Type="Embed" ProgID="PowerPoint.Show.12" ShapeID="_x0000_i1026" DrawAspect="Content" ObjectID="_1657457148" r:id="rId13"/>
        </w:object>
      </w:r>
    </w:p>
    <w:p w14:paraId="517C0CBE" w14:textId="77777777" w:rsidR="00D72B68" w:rsidRPr="009F3B79" w:rsidRDefault="00D72B68" w:rsidP="00D72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B79">
        <w:rPr>
          <w:rFonts w:ascii="Times New Roman" w:hAnsi="Times New Roman" w:cs="Times New Roman"/>
          <w:b/>
          <w:sz w:val="24"/>
          <w:szCs w:val="24"/>
          <w:lang w:val="en-US"/>
        </w:rPr>
        <w:t>Supplementary Figure 2.</w:t>
      </w:r>
      <w:r w:rsidRPr="009F3B79">
        <w:rPr>
          <w:sz w:val="24"/>
          <w:szCs w:val="24"/>
          <w:lang w:val="en-US"/>
        </w:rPr>
        <w:t xml:space="preserve"> </w:t>
      </w:r>
      <w:r w:rsidR="005A46AF" w:rsidRPr="009F3B79">
        <w:rPr>
          <w:rFonts w:ascii="Times New Roman" w:hAnsi="Times New Roman" w:cs="Times New Roman"/>
          <w:sz w:val="24"/>
          <w:szCs w:val="24"/>
          <w:lang w:val="en-US"/>
        </w:rPr>
        <w:t>One-Year Cumulative Incidences and Hazard Ratios with 95% Confidence I</w:t>
      </w:r>
      <w:r w:rsidR="00DA2C17">
        <w:rPr>
          <w:rFonts w:ascii="Times New Roman" w:hAnsi="Times New Roman" w:cs="Times New Roman"/>
          <w:sz w:val="24"/>
          <w:szCs w:val="24"/>
          <w:lang w:val="en-US"/>
        </w:rPr>
        <w:t>nterval [CI] of the Primary Endp</w:t>
      </w:r>
      <w:r w:rsidR="005A46AF" w:rsidRPr="009F3B79">
        <w:rPr>
          <w:rFonts w:ascii="Times New Roman" w:hAnsi="Times New Roman" w:cs="Times New Roman"/>
          <w:sz w:val="24"/>
          <w:szCs w:val="24"/>
          <w:lang w:val="en-US"/>
        </w:rPr>
        <w:t xml:space="preserve">oint of Death, Myocardial Infarction, or Stroke in Subgroups of Patients without </w:t>
      </w:r>
      <w:r w:rsidR="00696D19">
        <w:rPr>
          <w:rFonts w:ascii="Times New Roman" w:hAnsi="Times New Roman" w:cs="Times New Roman"/>
          <w:sz w:val="24"/>
          <w:szCs w:val="24"/>
          <w:lang w:val="en-US"/>
        </w:rPr>
        <w:t>diabetes mellitus</w:t>
      </w:r>
      <w:r w:rsidR="005A46AF" w:rsidRPr="009F3B79">
        <w:rPr>
          <w:rFonts w:ascii="Times New Roman" w:hAnsi="Times New Roman" w:cs="Times New Roman"/>
          <w:sz w:val="24"/>
          <w:szCs w:val="24"/>
          <w:lang w:val="en-US"/>
        </w:rPr>
        <w:t xml:space="preserve">. CABG=coronary artery bypass graft; CI=confidence interval; NSTEMI=non-ST-segment elevation myocardial infarction; PCI=percutaneous coronary intervention; </w:t>
      </w:r>
      <w:r w:rsidR="00696D19">
        <w:rPr>
          <w:rFonts w:ascii="Times New Roman" w:hAnsi="Times New Roman" w:cs="Times New Roman"/>
          <w:sz w:val="24"/>
          <w:szCs w:val="24"/>
          <w:lang w:val="en-US"/>
        </w:rPr>
        <w:t xml:space="preserve">Pint=P for interaction; </w:t>
      </w:r>
      <w:r w:rsidR="005A46AF" w:rsidRPr="009F3B79">
        <w:rPr>
          <w:rFonts w:ascii="Times New Roman" w:hAnsi="Times New Roman" w:cs="Times New Roman"/>
          <w:sz w:val="24"/>
          <w:szCs w:val="24"/>
          <w:lang w:val="en-US"/>
        </w:rPr>
        <w:t>STEMI=ST-segment elevation myocardial infarction.</w:t>
      </w:r>
    </w:p>
    <w:p w14:paraId="1F01BAA1" w14:textId="77777777" w:rsidR="006802F7" w:rsidRPr="009F3B79" w:rsidRDefault="002445C5" w:rsidP="00D72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B79">
        <w:rPr>
          <w:rFonts w:ascii="Times New Roman" w:hAnsi="Times New Roman" w:cs="Times New Roman"/>
          <w:sz w:val="24"/>
          <w:szCs w:val="24"/>
          <w:lang w:val="en-US"/>
        </w:rPr>
        <w:t xml:space="preserve">* The risk estimates </w:t>
      </w:r>
      <w:r w:rsidR="006802F7" w:rsidRPr="009F3B79">
        <w:rPr>
          <w:rFonts w:ascii="Times New Roman" w:hAnsi="Times New Roman" w:cs="Times New Roman"/>
          <w:sz w:val="24"/>
          <w:szCs w:val="24"/>
          <w:lang w:val="en-US"/>
        </w:rPr>
        <w:t xml:space="preserve">(hazard ratios with 95% confidence interval) </w:t>
      </w:r>
      <w:r w:rsidRPr="009F3B79">
        <w:rPr>
          <w:rFonts w:ascii="Times New Roman" w:hAnsi="Times New Roman" w:cs="Times New Roman"/>
          <w:sz w:val="24"/>
          <w:szCs w:val="24"/>
          <w:lang w:val="en-US"/>
        </w:rPr>
        <w:t>are obtained from the Cox proportional hazard model after adjustment for the participating center and stratification according to the clinical presentation (acute coronary syndrome with or without ST-segment elevation) and with the interaction term entered into the model.</w:t>
      </w:r>
      <w:r w:rsidR="009F3B79" w:rsidRPr="009F3B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B5F70">
        <w:rPr>
          <w:rFonts w:ascii="Times New Roman" w:hAnsi="Times New Roman" w:cs="Times New Roman"/>
          <w:sz w:val="24"/>
          <w:szCs w:val="24"/>
          <w:lang w:val="en-US"/>
        </w:rPr>
        <w:t>The completeness of baseline data (denominators in the events/total ratio) is shown in Table 1.</w:t>
      </w:r>
    </w:p>
    <w:p w14:paraId="206171A8" w14:textId="77777777" w:rsidR="005A46AF" w:rsidRPr="00230CBA" w:rsidRDefault="005A46AF" w:rsidP="003F0B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A46AF" w:rsidRPr="00230CBA" w:rsidSect="00480DC6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223AC" w14:textId="77777777" w:rsidR="003319E9" w:rsidRDefault="003319E9" w:rsidP="00433C8A">
      <w:pPr>
        <w:spacing w:after="0" w:line="240" w:lineRule="auto"/>
      </w:pPr>
      <w:r>
        <w:separator/>
      </w:r>
    </w:p>
  </w:endnote>
  <w:endnote w:type="continuationSeparator" w:id="0">
    <w:p w14:paraId="07BD2CAA" w14:textId="77777777" w:rsidR="003319E9" w:rsidRDefault="003319E9" w:rsidP="00433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7768121"/>
      <w:docPartObj>
        <w:docPartGallery w:val="Page Numbers (Bottom of Page)"/>
        <w:docPartUnique/>
      </w:docPartObj>
    </w:sdtPr>
    <w:sdtEndPr/>
    <w:sdtContent>
      <w:p w14:paraId="311EF191" w14:textId="77777777" w:rsidR="00433C8A" w:rsidRDefault="00433C8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64C">
          <w:rPr>
            <w:noProof/>
          </w:rPr>
          <w:t>4</w:t>
        </w:r>
        <w:r>
          <w:fldChar w:fldCharType="end"/>
        </w:r>
      </w:p>
    </w:sdtContent>
  </w:sdt>
  <w:p w14:paraId="0B2627AA" w14:textId="77777777" w:rsidR="00433C8A" w:rsidRDefault="00433C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3110F" w14:textId="77777777" w:rsidR="003319E9" w:rsidRDefault="003319E9" w:rsidP="00433C8A">
      <w:pPr>
        <w:spacing w:after="0" w:line="240" w:lineRule="auto"/>
      </w:pPr>
      <w:r>
        <w:separator/>
      </w:r>
    </w:p>
  </w:footnote>
  <w:footnote w:type="continuationSeparator" w:id="0">
    <w:p w14:paraId="019B8415" w14:textId="77777777" w:rsidR="003319E9" w:rsidRDefault="003319E9" w:rsidP="00433C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85E"/>
    <w:rsid w:val="000471CA"/>
    <w:rsid w:val="00054934"/>
    <w:rsid w:val="000B35E3"/>
    <w:rsid w:val="000C55D6"/>
    <w:rsid w:val="000E0A79"/>
    <w:rsid w:val="00174130"/>
    <w:rsid w:val="00191FC4"/>
    <w:rsid w:val="001933FA"/>
    <w:rsid w:val="00212157"/>
    <w:rsid w:val="00230CBA"/>
    <w:rsid w:val="002445C5"/>
    <w:rsid w:val="00257BD0"/>
    <w:rsid w:val="0026264C"/>
    <w:rsid w:val="00281279"/>
    <w:rsid w:val="00294E10"/>
    <w:rsid w:val="002A5020"/>
    <w:rsid w:val="00322399"/>
    <w:rsid w:val="003319E9"/>
    <w:rsid w:val="0034285E"/>
    <w:rsid w:val="003F0B6C"/>
    <w:rsid w:val="00424DD0"/>
    <w:rsid w:val="00433C8A"/>
    <w:rsid w:val="00437A83"/>
    <w:rsid w:val="00444797"/>
    <w:rsid w:val="00454557"/>
    <w:rsid w:val="00466ECD"/>
    <w:rsid w:val="00475F33"/>
    <w:rsid w:val="00476DEC"/>
    <w:rsid w:val="0048046B"/>
    <w:rsid w:val="00480DC6"/>
    <w:rsid w:val="004C65D5"/>
    <w:rsid w:val="005163A6"/>
    <w:rsid w:val="005240AF"/>
    <w:rsid w:val="005A46AF"/>
    <w:rsid w:val="005C1A6B"/>
    <w:rsid w:val="005D00DB"/>
    <w:rsid w:val="005E4BDA"/>
    <w:rsid w:val="005F3EE2"/>
    <w:rsid w:val="00647DD4"/>
    <w:rsid w:val="006802F7"/>
    <w:rsid w:val="00696090"/>
    <w:rsid w:val="00696D19"/>
    <w:rsid w:val="007071CD"/>
    <w:rsid w:val="007201DC"/>
    <w:rsid w:val="0075057F"/>
    <w:rsid w:val="00774C65"/>
    <w:rsid w:val="0078239D"/>
    <w:rsid w:val="007850DD"/>
    <w:rsid w:val="007B5A68"/>
    <w:rsid w:val="007D269A"/>
    <w:rsid w:val="007D5041"/>
    <w:rsid w:val="007E273A"/>
    <w:rsid w:val="0080097F"/>
    <w:rsid w:val="0091656B"/>
    <w:rsid w:val="00935866"/>
    <w:rsid w:val="00987DB9"/>
    <w:rsid w:val="009B65F8"/>
    <w:rsid w:val="009D1846"/>
    <w:rsid w:val="009F3B79"/>
    <w:rsid w:val="00A0748A"/>
    <w:rsid w:val="00A36B35"/>
    <w:rsid w:val="00A73629"/>
    <w:rsid w:val="00A756C9"/>
    <w:rsid w:val="00A868C7"/>
    <w:rsid w:val="00A9014B"/>
    <w:rsid w:val="00AD399F"/>
    <w:rsid w:val="00B00F65"/>
    <w:rsid w:val="00B65D64"/>
    <w:rsid w:val="00B75045"/>
    <w:rsid w:val="00BC46E4"/>
    <w:rsid w:val="00BE76A6"/>
    <w:rsid w:val="00BF37D2"/>
    <w:rsid w:val="00C26C01"/>
    <w:rsid w:val="00C969E4"/>
    <w:rsid w:val="00CB5F70"/>
    <w:rsid w:val="00D22972"/>
    <w:rsid w:val="00D72B68"/>
    <w:rsid w:val="00D77B96"/>
    <w:rsid w:val="00D87A96"/>
    <w:rsid w:val="00DA2C17"/>
    <w:rsid w:val="00DC51B2"/>
    <w:rsid w:val="00DF290F"/>
    <w:rsid w:val="00DF52CD"/>
    <w:rsid w:val="00E1700B"/>
    <w:rsid w:val="00E715D7"/>
    <w:rsid w:val="00E95BA3"/>
    <w:rsid w:val="00EA6DED"/>
    <w:rsid w:val="00EC1D44"/>
    <w:rsid w:val="00EC39EF"/>
    <w:rsid w:val="00F14557"/>
    <w:rsid w:val="00F4667A"/>
    <w:rsid w:val="00F81A3C"/>
    <w:rsid w:val="00F8504F"/>
    <w:rsid w:val="00FD1B87"/>
    <w:rsid w:val="00FD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3F6C3BA"/>
  <w15:chartTrackingRefBased/>
  <w15:docId w15:val="{D1B4DF3A-21DB-4BD8-A9C7-E33DAFB4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D39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AD399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A6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E0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3C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C8A"/>
  </w:style>
  <w:style w:type="paragraph" w:styleId="Footer">
    <w:name w:val="footer"/>
    <w:basedOn w:val="Normal"/>
    <w:link w:val="FooterChar"/>
    <w:uiPriority w:val="99"/>
    <w:unhideWhenUsed/>
    <w:rsid w:val="00433C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PowerPoint_Presentation1.pptx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PowerPoint_Presentation.pptx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792081EA1C843BD28E196BF626FE3" ma:contentTypeVersion="13" ma:contentTypeDescription="Create a new document." ma:contentTypeScope="" ma:versionID="906eb4945d8c9936275077b760a3b369">
  <xsd:schema xmlns:xsd="http://www.w3.org/2001/XMLSchema" xmlns:xs="http://www.w3.org/2001/XMLSchema" xmlns:p="http://schemas.microsoft.com/office/2006/metadata/properties" xmlns:ns3="24df4444-5a83-4587-988e-bb4bf93882ee" xmlns:ns4="53fe47ab-2f8d-4a3a-bfc8-c6c6dd4aac1f" targetNamespace="http://schemas.microsoft.com/office/2006/metadata/properties" ma:root="true" ma:fieldsID="89712c673199b5e82d7f64579923f480" ns3:_="" ns4:_="">
    <xsd:import namespace="24df4444-5a83-4587-988e-bb4bf93882ee"/>
    <xsd:import namespace="53fe47ab-2f8d-4a3a-bfc8-c6c6dd4aac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df4444-5a83-4587-988e-bb4bf93882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e47ab-2f8d-4a3a-bfc8-c6c6dd4aac1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9235A4-5363-4B3B-A25A-149DAFFA026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24df4444-5a83-4587-988e-bb4bf93882ee"/>
    <ds:schemaRef ds:uri="http://purl.org/dc/terms/"/>
    <ds:schemaRef ds:uri="53fe47ab-2f8d-4a3a-bfc8-c6c6dd4aac1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8F90DB-CCAB-4615-854E-261122BCBD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B58A07-83BA-4DEF-890A-7BBC277EE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df4444-5a83-4587-988e-bb4bf93882ee"/>
    <ds:schemaRef ds:uri="53fe47ab-2f8d-4a3a-bfc8-c6c6dd4aa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1554</Words>
  <Characters>8864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Herzzentrum München</Company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Gjin Ndrepepa</dc:creator>
  <cp:keywords/>
  <dc:description/>
  <cp:lastModifiedBy>Musacchio, Dena A. (ELS-HBE)</cp:lastModifiedBy>
  <cp:revision>2</cp:revision>
  <cp:lastPrinted>2020-02-13T10:39:00Z</cp:lastPrinted>
  <dcterms:created xsi:type="dcterms:W3CDTF">2020-07-28T19:59:00Z</dcterms:created>
  <dcterms:modified xsi:type="dcterms:W3CDTF">2020-07-28T19:59:00Z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0x0101001B2792081EA1C843BD28E196BF626FE3</vt:lpwstr>
  </property>
</Properties>
</file>