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D72680" w14:textId="77777777" w:rsidR="00926DEC" w:rsidRDefault="00B93D74" w:rsidP="00926DEC">
      <w:pPr>
        <w:spacing w:line="360" w:lineRule="auto"/>
        <w:jc w:val="center"/>
        <w:rPr>
          <w:rFonts w:ascii="Times New Roman" w:hAnsi="Times New Roman" w:cs="Times New Roman"/>
          <w:b/>
          <w:sz w:val="32"/>
          <w:szCs w:val="32"/>
        </w:rPr>
      </w:pPr>
      <w:proofErr w:type="spellStart"/>
      <w:r w:rsidRPr="00440A66">
        <w:rPr>
          <w:rFonts w:ascii="Times New Roman" w:hAnsi="Times New Roman" w:cs="Times New Roman"/>
          <w:b/>
          <w:sz w:val="32"/>
          <w:szCs w:val="32"/>
        </w:rPr>
        <w:t>A</w:t>
      </w:r>
      <w:bookmarkStart w:id="0" w:name="_GoBack"/>
      <w:bookmarkEnd w:id="0"/>
      <w:r w:rsidRPr="00440A66">
        <w:rPr>
          <w:rFonts w:ascii="Times New Roman" w:hAnsi="Times New Roman" w:cs="Times New Roman"/>
          <w:b/>
          <w:sz w:val="32"/>
          <w:szCs w:val="32"/>
        </w:rPr>
        <w:t>sparaginyl</w:t>
      </w:r>
      <w:proofErr w:type="spellEnd"/>
      <w:r w:rsidRPr="00440A66">
        <w:rPr>
          <w:rFonts w:ascii="Times New Roman" w:hAnsi="Times New Roman" w:cs="Times New Roman"/>
          <w:b/>
          <w:sz w:val="32"/>
          <w:szCs w:val="32"/>
        </w:rPr>
        <w:t xml:space="preserve"> endopeptidase (legumain) supports </w:t>
      </w:r>
    </w:p>
    <w:p w14:paraId="424EA3AC" w14:textId="1F827BE1" w:rsidR="00B93D74" w:rsidRPr="00440A66" w:rsidRDefault="00926DEC" w:rsidP="00926DEC">
      <w:pPr>
        <w:spacing w:line="360" w:lineRule="auto"/>
        <w:jc w:val="center"/>
        <w:rPr>
          <w:rFonts w:ascii="Times New Roman" w:hAnsi="Times New Roman" w:cs="Times New Roman"/>
          <w:b/>
          <w:sz w:val="32"/>
          <w:szCs w:val="32"/>
        </w:rPr>
      </w:pPr>
      <w:r>
        <w:rPr>
          <w:rFonts w:ascii="Times New Roman" w:hAnsi="Times New Roman" w:cs="Times New Roman"/>
          <w:b/>
          <w:sz w:val="32"/>
          <w:szCs w:val="32"/>
        </w:rPr>
        <w:t xml:space="preserve">human Th1 </w:t>
      </w:r>
      <w:r w:rsidR="00B93D74" w:rsidRPr="00440A66">
        <w:rPr>
          <w:rFonts w:ascii="Times New Roman" w:hAnsi="Times New Roman" w:cs="Times New Roman"/>
          <w:b/>
          <w:sz w:val="32"/>
          <w:szCs w:val="32"/>
        </w:rPr>
        <w:t>induction via</w:t>
      </w:r>
    </w:p>
    <w:p w14:paraId="7290AD4A" w14:textId="45E95A26" w:rsidR="00E179C7" w:rsidRPr="00440A66" w:rsidRDefault="00B93D74" w:rsidP="00E179C7">
      <w:pPr>
        <w:spacing w:line="360" w:lineRule="auto"/>
        <w:jc w:val="center"/>
        <w:rPr>
          <w:rFonts w:ascii="Times New Roman" w:hAnsi="Times New Roman" w:cs="Times New Roman"/>
          <w:b/>
          <w:sz w:val="32"/>
          <w:szCs w:val="32"/>
        </w:rPr>
      </w:pPr>
      <w:r w:rsidRPr="00440A66">
        <w:rPr>
          <w:rFonts w:ascii="Times New Roman" w:hAnsi="Times New Roman" w:cs="Times New Roman"/>
          <w:b/>
          <w:sz w:val="32"/>
          <w:szCs w:val="32"/>
        </w:rPr>
        <w:t xml:space="preserve">cathepsin L-mediated intracellular </w:t>
      </w:r>
      <w:r w:rsidR="003A41F3" w:rsidRPr="00440A66">
        <w:rPr>
          <w:rFonts w:ascii="Times New Roman" w:hAnsi="Times New Roman" w:cs="Times New Roman"/>
          <w:b/>
          <w:sz w:val="32"/>
          <w:szCs w:val="32"/>
        </w:rPr>
        <w:t>C</w:t>
      </w:r>
      <w:r w:rsidRPr="00440A66">
        <w:rPr>
          <w:rFonts w:ascii="Times New Roman" w:hAnsi="Times New Roman" w:cs="Times New Roman"/>
          <w:b/>
          <w:sz w:val="32"/>
          <w:szCs w:val="32"/>
        </w:rPr>
        <w:t xml:space="preserve">3 activation </w:t>
      </w:r>
    </w:p>
    <w:p w14:paraId="3354DE41" w14:textId="77777777" w:rsidR="00E179C7" w:rsidRPr="0034389E" w:rsidRDefault="00E179C7" w:rsidP="00E179C7">
      <w:pPr>
        <w:spacing w:line="360" w:lineRule="auto"/>
        <w:rPr>
          <w:rFonts w:ascii="Arial" w:hAnsi="Arial" w:cs="Arial"/>
        </w:rPr>
      </w:pPr>
    </w:p>
    <w:p w14:paraId="59DF2C84" w14:textId="074D7BDD" w:rsidR="00E179C7" w:rsidRPr="00440A66" w:rsidRDefault="00F43EA3" w:rsidP="00E179C7">
      <w:pPr>
        <w:spacing w:line="360" w:lineRule="auto"/>
        <w:rPr>
          <w:rFonts w:ascii="Times New Roman" w:hAnsi="Times New Roman" w:cs="Times New Roman"/>
        </w:rPr>
      </w:pPr>
      <w:r w:rsidRPr="00440A66">
        <w:rPr>
          <w:rFonts w:ascii="Times New Roman" w:hAnsi="Times New Roman" w:cs="Times New Roman"/>
        </w:rPr>
        <w:t xml:space="preserve">Simon </w:t>
      </w:r>
      <w:proofErr w:type="spellStart"/>
      <w:r w:rsidRPr="00440A66">
        <w:rPr>
          <w:rFonts w:ascii="Times New Roman" w:hAnsi="Times New Roman" w:cs="Times New Roman"/>
        </w:rPr>
        <w:t>Freel</w:t>
      </w:r>
      <w:r w:rsidR="007C4B74" w:rsidRPr="00440A66">
        <w:rPr>
          <w:rFonts w:ascii="Times New Roman" w:hAnsi="Times New Roman" w:cs="Times New Roman"/>
        </w:rPr>
        <w:t>e</w:t>
      </w:r>
      <w:r w:rsidRPr="00440A66">
        <w:rPr>
          <w:rFonts w:ascii="Times New Roman" w:hAnsi="Times New Roman" w:cs="Times New Roman"/>
        </w:rPr>
        <w:t>y</w:t>
      </w:r>
      <w:proofErr w:type="spellEnd"/>
      <w:r w:rsidR="00C35C5D" w:rsidRPr="00440A66">
        <w:rPr>
          <w:rFonts w:ascii="Times New Roman" w:hAnsi="Times New Roman" w:cs="Times New Roman"/>
        </w:rPr>
        <w:t>,</w:t>
      </w:r>
      <w:r w:rsidR="00C35C5D" w:rsidRPr="00440A66">
        <w:rPr>
          <w:rFonts w:ascii="Times New Roman" w:hAnsi="Times New Roman" w:cs="Times New Roman"/>
          <w:vertAlign w:val="superscript"/>
        </w:rPr>
        <w:t xml:space="preserve"> </w:t>
      </w:r>
      <w:r w:rsidRPr="00440A66">
        <w:rPr>
          <w:rFonts w:ascii="Times New Roman" w:hAnsi="Times New Roman" w:cs="Times New Roman"/>
        </w:rPr>
        <w:t xml:space="preserve">John Cardone, </w:t>
      </w:r>
      <w:r w:rsidR="00520821" w:rsidRPr="00440A66">
        <w:rPr>
          <w:rFonts w:ascii="Times New Roman" w:hAnsi="Times New Roman" w:cs="Times New Roman"/>
        </w:rPr>
        <w:t xml:space="preserve">Sira </w:t>
      </w:r>
      <w:proofErr w:type="spellStart"/>
      <w:r w:rsidR="00294172">
        <w:rPr>
          <w:rFonts w:ascii="Times New Roman" w:hAnsi="Times New Roman" w:cs="Times New Roman"/>
        </w:rPr>
        <w:t>Carolin</w:t>
      </w:r>
      <w:proofErr w:type="spellEnd"/>
      <w:r w:rsidR="00294172">
        <w:rPr>
          <w:rFonts w:ascii="Times New Roman" w:hAnsi="Times New Roman" w:cs="Times New Roman"/>
        </w:rPr>
        <w:t xml:space="preserve"> </w:t>
      </w:r>
      <w:r w:rsidR="00520821" w:rsidRPr="00440A66">
        <w:rPr>
          <w:rFonts w:ascii="Times New Roman" w:hAnsi="Times New Roman" w:cs="Times New Roman"/>
        </w:rPr>
        <w:t>G</w:t>
      </w:r>
      <w:r w:rsidR="00D2094F" w:rsidRPr="00440A66">
        <w:rPr>
          <w:rFonts w:ascii="Times New Roman" w:hAnsi="Times New Roman" w:cs="Times New Roman"/>
        </w:rPr>
        <w:t>ü</w:t>
      </w:r>
      <w:r w:rsidR="00520821" w:rsidRPr="00440A66">
        <w:rPr>
          <w:rFonts w:ascii="Times New Roman" w:hAnsi="Times New Roman" w:cs="Times New Roman"/>
        </w:rPr>
        <w:t>nther</w:t>
      </w:r>
      <w:r w:rsidR="00AE202C" w:rsidRPr="005B7AE3">
        <w:rPr>
          <w:rFonts w:ascii="Times New Roman" w:hAnsi="Times New Roman" w:cs="Times New Roman"/>
          <w:color w:val="000000" w:themeColor="text1"/>
        </w:rPr>
        <w:t xml:space="preserve">, </w:t>
      </w:r>
      <w:r w:rsidR="00294172" w:rsidRPr="005B7AE3">
        <w:rPr>
          <w:rFonts w:ascii="Times New Roman" w:hAnsi="Times New Roman" w:cs="Times New Roman"/>
          <w:color w:val="000000" w:themeColor="text1"/>
        </w:rPr>
        <w:t xml:space="preserve">Erin E. West, </w:t>
      </w:r>
      <w:r w:rsidR="00144D47" w:rsidRPr="005B7AE3">
        <w:rPr>
          <w:rFonts w:ascii="Times New Roman" w:hAnsi="Times New Roman" w:cs="Times New Roman"/>
          <w:color w:val="000000" w:themeColor="text1"/>
        </w:rPr>
        <w:t xml:space="preserve">Thomas </w:t>
      </w:r>
      <w:proofErr w:type="spellStart"/>
      <w:r w:rsidR="00144D47" w:rsidRPr="005B7AE3">
        <w:rPr>
          <w:rFonts w:ascii="Times New Roman" w:hAnsi="Times New Roman" w:cs="Times New Roman"/>
          <w:color w:val="000000" w:themeColor="text1"/>
        </w:rPr>
        <w:t>R</w:t>
      </w:r>
      <w:r w:rsidRPr="005B7AE3">
        <w:rPr>
          <w:rFonts w:ascii="Times New Roman" w:hAnsi="Times New Roman" w:cs="Times New Roman"/>
          <w:color w:val="000000" w:themeColor="text1"/>
        </w:rPr>
        <w:t>einheckel</w:t>
      </w:r>
      <w:proofErr w:type="spellEnd"/>
      <w:r w:rsidRPr="00440A66">
        <w:rPr>
          <w:rFonts w:ascii="Times New Roman" w:hAnsi="Times New Roman" w:cs="Times New Roman"/>
        </w:rPr>
        <w:t xml:space="preserve">, Colin Watts, Claudia Kemper, and </w:t>
      </w:r>
      <w:r w:rsidR="00E179C7" w:rsidRPr="00440A66">
        <w:rPr>
          <w:rFonts w:ascii="Times New Roman" w:hAnsi="Times New Roman" w:cs="Times New Roman"/>
        </w:rPr>
        <w:t>Martin Kolev</w:t>
      </w:r>
    </w:p>
    <w:p w14:paraId="61BBBA0A" w14:textId="77777777" w:rsidR="00E179C7" w:rsidRPr="00440A66" w:rsidRDefault="00E179C7" w:rsidP="00E179C7">
      <w:pPr>
        <w:shd w:val="clear" w:color="auto" w:fill="FFFFFF"/>
        <w:spacing w:line="360" w:lineRule="auto"/>
        <w:outlineLvl w:val="2"/>
        <w:rPr>
          <w:rFonts w:ascii="Times New Roman" w:hAnsi="Times New Roman" w:cs="Times New Roman"/>
          <w:bCs/>
          <w:color w:val="333333"/>
          <w:lang w:val="en"/>
        </w:rPr>
      </w:pPr>
    </w:p>
    <w:p w14:paraId="147D0117" w14:textId="77777777" w:rsidR="00725612" w:rsidRPr="00440A66" w:rsidRDefault="00725612" w:rsidP="00850F85">
      <w:pPr>
        <w:rPr>
          <w:rFonts w:ascii="Times New Roman" w:hAnsi="Times New Roman" w:cs="Times New Roman"/>
        </w:rPr>
      </w:pPr>
    </w:p>
    <w:p w14:paraId="1A9F9CFC" w14:textId="77777777" w:rsidR="00725612" w:rsidRPr="0034389E" w:rsidRDefault="00725612" w:rsidP="00850F85">
      <w:pPr>
        <w:rPr>
          <w:rFonts w:ascii="Arial" w:hAnsi="Arial" w:cs="Arial"/>
        </w:rPr>
      </w:pPr>
    </w:p>
    <w:p w14:paraId="785629EA" w14:textId="77777777" w:rsidR="00725612" w:rsidRPr="0034389E" w:rsidRDefault="00725612" w:rsidP="00850F85">
      <w:pPr>
        <w:rPr>
          <w:rFonts w:ascii="Arial" w:hAnsi="Arial" w:cs="Arial"/>
        </w:rPr>
      </w:pPr>
    </w:p>
    <w:p w14:paraId="1C92E2F5" w14:textId="77777777" w:rsidR="00725612" w:rsidRPr="0034389E" w:rsidRDefault="00725612" w:rsidP="00850F85">
      <w:pPr>
        <w:rPr>
          <w:rFonts w:ascii="Arial" w:hAnsi="Arial" w:cs="Arial"/>
        </w:rPr>
      </w:pPr>
    </w:p>
    <w:p w14:paraId="4A247300" w14:textId="65386484" w:rsidR="00EC3C6F" w:rsidRPr="00151925" w:rsidRDefault="00EC3C6F" w:rsidP="00850F85">
      <w:pPr>
        <w:rPr>
          <w:rFonts w:ascii="Arial" w:hAnsi="Arial" w:cs="Arial"/>
          <w:b/>
        </w:rPr>
      </w:pPr>
      <w:r w:rsidRPr="00151925">
        <w:rPr>
          <w:rFonts w:ascii="Arial" w:hAnsi="Arial" w:cs="Arial"/>
          <w:b/>
        </w:rPr>
        <w:t>Supplementary Material:</w:t>
      </w:r>
    </w:p>
    <w:p w14:paraId="0EA60230" w14:textId="11AE9DCB" w:rsidR="00EC3C6F" w:rsidRPr="00151925" w:rsidRDefault="00EC3C6F" w:rsidP="00850F85">
      <w:pPr>
        <w:rPr>
          <w:rFonts w:ascii="Arial" w:hAnsi="Arial" w:cs="Arial"/>
        </w:rPr>
      </w:pPr>
    </w:p>
    <w:p w14:paraId="594B0A7C" w14:textId="77777777" w:rsidR="00EC3C6F" w:rsidRPr="00151925" w:rsidRDefault="00EC3C6F" w:rsidP="00850F85">
      <w:pPr>
        <w:pStyle w:val="ListParagraph"/>
        <w:numPr>
          <w:ilvl w:val="0"/>
          <w:numId w:val="3"/>
        </w:numPr>
        <w:rPr>
          <w:rFonts w:ascii="Arial" w:hAnsi="Arial" w:cs="Arial"/>
          <w:b/>
        </w:rPr>
      </w:pPr>
      <w:r w:rsidRPr="00151925">
        <w:rPr>
          <w:rFonts w:ascii="Arial" w:hAnsi="Arial" w:cs="Arial"/>
          <w:b/>
        </w:rPr>
        <w:t>Detailed Materials and Methods</w:t>
      </w:r>
    </w:p>
    <w:p w14:paraId="13DDF6C4" w14:textId="18FB3AB3" w:rsidR="00EC3C6F" w:rsidRPr="00151925" w:rsidRDefault="00EC3C6F" w:rsidP="00850F85">
      <w:pPr>
        <w:pStyle w:val="ListParagraph"/>
        <w:numPr>
          <w:ilvl w:val="0"/>
          <w:numId w:val="3"/>
        </w:numPr>
        <w:rPr>
          <w:rFonts w:ascii="Arial" w:hAnsi="Arial" w:cs="Arial"/>
          <w:b/>
        </w:rPr>
      </w:pPr>
      <w:r w:rsidRPr="00151925">
        <w:rPr>
          <w:rFonts w:ascii="Arial" w:hAnsi="Arial" w:cs="Arial"/>
          <w:b/>
        </w:rPr>
        <w:t xml:space="preserve">Supplementary Figure </w:t>
      </w:r>
      <w:r w:rsidR="000D303B" w:rsidRPr="00151925">
        <w:rPr>
          <w:rFonts w:ascii="Arial" w:hAnsi="Arial" w:cs="Arial"/>
          <w:b/>
        </w:rPr>
        <w:t>1</w:t>
      </w:r>
    </w:p>
    <w:p w14:paraId="56C86992" w14:textId="372CB39A" w:rsidR="00EC3C6F" w:rsidRDefault="00EC3C6F" w:rsidP="00850F85">
      <w:pPr>
        <w:pStyle w:val="ListParagraph"/>
        <w:numPr>
          <w:ilvl w:val="0"/>
          <w:numId w:val="3"/>
        </w:numPr>
        <w:rPr>
          <w:rFonts w:ascii="Arial" w:hAnsi="Arial" w:cs="Arial"/>
          <w:b/>
        </w:rPr>
      </w:pPr>
      <w:r w:rsidRPr="00151925">
        <w:rPr>
          <w:rFonts w:ascii="Arial" w:hAnsi="Arial" w:cs="Arial"/>
          <w:b/>
        </w:rPr>
        <w:t xml:space="preserve">Supplementary Figure </w:t>
      </w:r>
      <w:r w:rsidR="000D303B" w:rsidRPr="00151925">
        <w:rPr>
          <w:rFonts w:ascii="Arial" w:hAnsi="Arial" w:cs="Arial"/>
          <w:b/>
        </w:rPr>
        <w:t>2</w:t>
      </w:r>
    </w:p>
    <w:p w14:paraId="07F31A04" w14:textId="1439BA49" w:rsidR="00660998" w:rsidRPr="00151925" w:rsidRDefault="00660998" w:rsidP="00850F85">
      <w:pPr>
        <w:pStyle w:val="ListParagraph"/>
        <w:numPr>
          <w:ilvl w:val="0"/>
          <w:numId w:val="3"/>
        </w:numPr>
        <w:rPr>
          <w:rFonts w:ascii="Arial" w:hAnsi="Arial" w:cs="Arial"/>
          <w:b/>
        </w:rPr>
      </w:pPr>
      <w:r>
        <w:rPr>
          <w:rFonts w:ascii="Arial" w:hAnsi="Arial" w:cs="Arial"/>
          <w:b/>
        </w:rPr>
        <w:t>Supplemental references</w:t>
      </w:r>
    </w:p>
    <w:p w14:paraId="509D2D1D" w14:textId="77777777" w:rsidR="00725612" w:rsidRPr="00151925" w:rsidRDefault="00725612" w:rsidP="00850F85">
      <w:pPr>
        <w:rPr>
          <w:rFonts w:ascii="Arial" w:hAnsi="Arial" w:cs="Arial"/>
          <w:b/>
        </w:rPr>
      </w:pPr>
    </w:p>
    <w:p w14:paraId="38D88A53" w14:textId="77777777" w:rsidR="00725612" w:rsidRPr="0034389E" w:rsidRDefault="00725612" w:rsidP="00850F85">
      <w:pPr>
        <w:rPr>
          <w:rFonts w:ascii="Arial" w:hAnsi="Arial" w:cs="Arial"/>
        </w:rPr>
      </w:pPr>
    </w:p>
    <w:p w14:paraId="04438742" w14:textId="5720363E" w:rsidR="006F0F92" w:rsidRDefault="006F0F92" w:rsidP="00BB7DBD">
      <w:pPr>
        <w:jc w:val="both"/>
        <w:rPr>
          <w:rFonts w:ascii="Arial" w:hAnsi="Arial" w:cs="Arial"/>
        </w:rPr>
      </w:pPr>
    </w:p>
    <w:p w14:paraId="09CDDA91" w14:textId="77777777" w:rsidR="00EC3C6F" w:rsidRPr="003247E3" w:rsidRDefault="00EC3C6F" w:rsidP="00BB7DBD">
      <w:pPr>
        <w:jc w:val="both"/>
        <w:rPr>
          <w:rFonts w:ascii="Times New Roman" w:hAnsi="Times New Roman" w:cs="Times New Roman"/>
        </w:rPr>
      </w:pPr>
    </w:p>
    <w:p w14:paraId="177B3854" w14:textId="77777777" w:rsidR="00EC3C6F" w:rsidRDefault="00EC3C6F" w:rsidP="00BB7DBD">
      <w:pPr>
        <w:jc w:val="both"/>
        <w:rPr>
          <w:rFonts w:ascii="Times New Roman" w:hAnsi="Times New Roman" w:cs="Times New Roman"/>
          <w:b/>
        </w:rPr>
      </w:pPr>
    </w:p>
    <w:p w14:paraId="649A1B95" w14:textId="77777777" w:rsidR="00EC3C6F" w:rsidRDefault="00EC3C6F" w:rsidP="00BB7DBD">
      <w:pPr>
        <w:jc w:val="both"/>
        <w:rPr>
          <w:rFonts w:ascii="Times New Roman" w:hAnsi="Times New Roman" w:cs="Times New Roman"/>
          <w:b/>
        </w:rPr>
      </w:pPr>
    </w:p>
    <w:p w14:paraId="18B4FAD6" w14:textId="77777777" w:rsidR="00EC3C6F" w:rsidRDefault="00EC3C6F" w:rsidP="00BB7DBD">
      <w:pPr>
        <w:jc w:val="both"/>
        <w:rPr>
          <w:rFonts w:ascii="Times New Roman" w:hAnsi="Times New Roman" w:cs="Times New Roman"/>
          <w:b/>
        </w:rPr>
      </w:pPr>
    </w:p>
    <w:p w14:paraId="29AB40B9" w14:textId="77777777" w:rsidR="00EC3C6F" w:rsidRDefault="00EC3C6F" w:rsidP="00BB7DBD">
      <w:pPr>
        <w:jc w:val="both"/>
        <w:rPr>
          <w:rFonts w:ascii="Times New Roman" w:hAnsi="Times New Roman" w:cs="Times New Roman"/>
          <w:b/>
        </w:rPr>
      </w:pPr>
    </w:p>
    <w:p w14:paraId="612E693E" w14:textId="77777777" w:rsidR="00EC3C6F" w:rsidRDefault="00EC3C6F" w:rsidP="00BB7DBD">
      <w:pPr>
        <w:jc w:val="both"/>
        <w:rPr>
          <w:rFonts w:ascii="Times New Roman" w:hAnsi="Times New Roman" w:cs="Times New Roman"/>
          <w:b/>
        </w:rPr>
      </w:pPr>
    </w:p>
    <w:p w14:paraId="23D50210" w14:textId="77777777" w:rsidR="00EC3C6F" w:rsidRDefault="00EC3C6F" w:rsidP="00BB7DBD">
      <w:pPr>
        <w:jc w:val="both"/>
        <w:rPr>
          <w:rFonts w:ascii="Times New Roman" w:hAnsi="Times New Roman" w:cs="Times New Roman"/>
          <w:b/>
        </w:rPr>
      </w:pPr>
    </w:p>
    <w:p w14:paraId="11F0F950" w14:textId="77777777" w:rsidR="00EC3C6F" w:rsidRDefault="00EC3C6F" w:rsidP="00BB7DBD">
      <w:pPr>
        <w:jc w:val="both"/>
        <w:rPr>
          <w:rFonts w:ascii="Times New Roman" w:hAnsi="Times New Roman" w:cs="Times New Roman"/>
          <w:b/>
        </w:rPr>
      </w:pPr>
    </w:p>
    <w:p w14:paraId="65330EEB" w14:textId="77777777" w:rsidR="00EC3C6F" w:rsidRDefault="00EC3C6F" w:rsidP="00BB7DBD">
      <w:pPr>
        <w:jc w:val="both"/>
        <w:rPr>
          <w:rFonts w:ascii="Times New Roman" w:hAnsi="Times New Roman" w:cs="Times New Roman"/>
          <w:b/>
        </w:rPr>
      </w:pPr>
    </w:p>
    <w:p w14:paraId="3B56DC6C" w14:textId="77777777" w:rsidR="00EC3C6F" w:rsidRDefault="00EC3C6F" w:rsidP="00BB7DBD">
      <w:pPr>
        <w:jc w:val="both"/>
        <w:rPr>
          <w:rFonts w:ascii="Times New Roman" w:hAnsi="Times New Roman" w:cs="Times New Roman"/>
          <w:b/>
        </w:rPr>
      </w:pPr>
    </w:p>
    <w:p w14:paraId="1D2F46FE" w14:textId="77777777" w:rsidR="00EC3C6F" w:rsidRDefault="00EC3C6F" w:rsidP="00BB7DBD">
      <w:pPr>
        <w:jc w:val="both"/>
        <w:rPr>
          <w:rFonts w:ascii="Times New Roman" w:hAnsi="Times New Roman" w:cs="Times New Roman"/>
          <w:b/>
        </w:rPr>
      </w:pPr>
    </w:p>
    <w:p w14:paraId="14B971FD" w14:textId="77777777" w:rsidR="00EC3C6F" w:rsidRDefault="00EC3C6F" w:rsidP="00BB7DBD">
      <w:pPr>
        <w:jc w:val="both"/>
        <w:rPr>
          <w:rFonts w:ascii="Times New Roman" w:hAnsi="Times New Roman" w:cs="Times New Roman"/>
          <w:b/>
        </w:rPr>
      </w:pPr>
    </w:p>
    <w:p w14:paraId="7D5D636D" w14:textId="77777777" w:rsidR="00EC3C6F" w:rsidRDefault="00EC3C6F" w:rsidP="00BB7DBD">
      <w:pPr>
        <w:jc w:val="both"/>
        <w:rPr>
          <w:rFonts w:ascii="Times New Roman" w:hAnsi="Times New Roman" w:cs="Times New Roman"/>
          <w:b/>
        </w:rPr>
      </w:pPr>
    </w:p>
    <w:p w14:paraId="0BE3F158" w14:textId="77777777" w:rsidR="00EC3C6F" w:rsidRDefault="00EC3C6F" w:rsidP="00BB7DBD">
      <w:pPr>
        <w:jc w:val="both"/>
        <w:rPr>
          <w:rFonts w:ascii="Times New Roman" w:hAnsi="Times New Roman" w:cs="Times New Roman"/>
          <w:b/>
        </w:rPr>
      </w:pPr>
    </w:p>
    <w:p w14:paraId="3B75730D" w14:textId="77777777" w:rsidR="00EC3C6F" w:rsidRDefault="00EC3C6F" w:rsidP="00BB7DBD">
      <w:pPr>
        <w:jc w:val="both"/>
        <w:rPr>
          <w:rFonts w:ascii="Times New Roman" w:hAnsi="Times New Roman" w:cs="Times New Roman"/>
          <w:b/>
        </w:rPr>
      </w:pPr>
    </w:p>
    <w:p w14:paraId="53591373" w14:textId="77777777" w:rsidR="00EC3C6F" w:rsidRDefault="00EC3C6F" w:rsidP="00BB7DBD">
      <w:pPr>
        <w:jc w:val="both"/>
        <w:rPr>
          <w:rFonts w:ascii="Times New Roman" w:hAnsi="Times New Roman" w:cs="Times New Roman"/>
          <w:b/>
        </w:rPr>
      </w:pPr>
    </w:p>
    <w:p w14:paraId="4F37F346" w14:textId="77777777" w:rsidR="00EC3C6F" w:rsidRDefault="00EC3C6F" w:rsidP="00BB7DBD">
      <w:pPr>
        <w:jc w:val="both"/>
        <w:rPr>
          <w:rFonts w:ascii="Times New Roman" w:hAnsi="Times New Roman" w:cs="Times New Roman"/>
          <w:b/>
        </w:rPr>
      </w:pPr>
    </w:p>
    <w:p w14:paraId="39183FFF" w14:textId="77777777" w:rsidR="00EC3C6F" w:rsidRDefault="00EC3C6F" w:rsidP="00BB7DBD">
      <w:pPr>
        <w:jc w:val="both"/>
        <w:rPr>
          <w:rFonts w:ascii="Times New Roman" w:hAnsi="Times New Roman" w:cs="Times New Roman"/>
          <w:b/>
        </w:rPr>
      </w:pPr>
    </w:p>
    <w:p w14:paraId="4B1CF210" w14:textId="77777777" w:rsidR="00EC3C6F" w:rsidRDefault="00EC3C6F" w:rsidP="00BB7DBD">
      <w:pPr>
        <w:jc w:val="both"/>
        <w:rPr>
          <w:rFonts w:ascii="Times New Roman" w:hAnsi="Times New Roman" w:cs="Times New Roman"/>
          <w:b/>
        </w:rPr>
      </w:pPr>
    </w:p>
    <w:p w14:paraId="1A6AB1F6" w14:textId="77777777" w:rsidR="00EC3C6F" w:rsidRDefault="00EC3C6F" w:rsidP="00BB7DBD">
      <w:pPr>
        <w:jc w:val="both"/>
        <w:rPr>
          <w:rFonts w:ascii="Times New Roman" w:hAnsi="Times New Roman" w:cs="Times New Roman"/>
          <w:b/>
        </w:rPr>
      </w:pPr>
    </w:p>
    <w:p w14:paraId="61FB6F79" w14:textId="77777777" w:rsidR="004F51DA" w:rsidRDefault="004F51DA" w:rsidP="00660998">
      <w:pPr>
        <w:jc w:val="both"/>
        <w:rPr>
          <w:rFonts w:ascii="Times New Roman" w:hAnsi="Times New Roman" w:cs="Times New Roman"/>
          <w:b/>
        </w:rPr>
      </w:pPr>
    </w:p>
    <w:p w14:paraId="51420411" w14:textId="68500C79" w:rsidR="007340B9" w:rsidRPr="00660998" w:rsidRDefault="00EC3C6F" w:rsidP="00660998">
      <w:pPr>
        <w:jc w:val="both"/>
        <w:rPr>
          <w:rFonts w:ascii="Arial" w:hAnsi="Arial" w:cs="Arial"/>
          <w:b/>
        </w:rPr>
      </w:pPr>
      <w:r w:rsidRPr="00151925">
        <w:rPr>
          <w:rFonts w:ascii="Arial" w:hAnsi="Arial" w:cs="Arial"/>
          <w:b/>
        </w:rPr>
        <w:lastRenderedPageBreak/>
        <w:t>Detailed Materials and M</w:t>
      </w:r>
      <w:r w:rsidR="006F0F92" w:rsidRPr="00151925">
        <w:rPr>
          <w:rFonts w:ascii="Arial" w:hAnsi="Arial" w:cs="Arial"/>
          <w:b/>
        </w:rPr>
        <w:t>ethods</w:t>
      </w:r>
    </w:p>
    <w:p w14:paraId="40DD31FC" w14:textId="5CB2C525" w:rsidR="006F0F92" w:rsidRPr="003247E3" w:rsidRDefault="006F0F92" w:rsidP="00A26B4D">
      <w:pPr>
        <w:pStyle w:val="Heading3"/>
        <w:spacing w:before="0" w:beforeAutospacing="0" w:after="0" w:afterAutospacing="0"/>
        <w:jc w:val="both"/>
        <w:rPr>
          <w:bCs w:val="0"/>
          <w:iCs/>
          <w:sz w:val="24"/>
          <w:szCs w:val="24"/>
        </w:rPr>
      </w:pPr>
      <w:r w:rsidRPr="003247E3">
        <w:rPr>
          <w:bCs w:val="0"/>
          <w:iCs/>
          <w:sz w:val="24"/>
          <w:szCs w:val="24"/>
        </w:rPr>
        <w:t xml:space="preserve">Antibodies, proteins and inhibitors </w:t>
      </w:r>
    </w:p>
    <w:p w14:paraId="1D378CB0" w14:textId="5AAA700F" w:rsidR="00CB517E" w:rsidRPr="005B7AE3" w:rsidRDefault="00167EDF" w:rsidP="004F51DA">
      <w:pPr>
        <w:jc w:val="both"/>
        <w:rPr>
          <w:rFonts w:ascii="Times New Roman" w:eastAsia="Times New Roman" w:hAnsi="Times New Roman" w:cs="Times New Roman"/>
          <w:color w:val="000000" w:themeColor="text1"/>
        </w:rPr>
      </w:pPr>
      <w:r w:rsidRPr="005B7AE3">
        <w:rPr>
          <w:rFonts w:ascii="Times New Roman" w:hAnsi="Times New Roman" w:cs="Times New Roman"/>
          <w:color w:val="000000" w:themeColor="text1"/>
        </w:rPr>
        <w:t xml:space="preserve">Cell-stimulating </w:t>
      </w:r>
      <w:r w:rsidR="000B010A" w:rsidRPr="005B7AE3">
        <w:rPr>
          <w:rFonts w:ascii="Times New Roman" w:hAnsi="Times New Roman" w:cs="Times New Roman"/>
          <w:color w:val="000000" w:themeColor="text1"/>
        </w:rPr>
        <w:t xml:space="preserve">monoclonal antibodies </w:t>
      </w:r>
      <w:r w:rsidRPr="005B7AE3">
        <w:rPr>
          <w:rFonts w:ascii="Times New Roman" w:hAnsi="Times New Roman" w:cs="Times New Roman"/>
          <w:color w:val="000000" w:themeColor="text1"/>
        </w:rPr>
        <w:t>to human CD4</w:t>
      </w:r>
      <w:r w:rsidRPr="005B7AE3">
        <w:rPr>
          <w:rFonts w:ascii="Times New Roman" w:hAnsi="Times New Roman" w:cs="Times New Roman"/>
          <w:color w:val="000000" w:themeColor="text1"/>
          <w:vertAlign w:val="superscript"/>
        </w:rPr>
        <w:t>+</w:t>
      </w:r>
      <w:r w:rsidRPr="005B7AE3">
        <w:rPr>
          <w:rFonts w:ascii="Times New Roman" w:hAnsi="Times New Roman" w:cs="Times New Roman"/>
          <w:color w:val="000000" w:themeColor="text1"/>
        </w:rPr>
        <w:t xml:space="preserve"> T cells were bought from BD Biosciences, San Diego, CA (anti-hCD28, CD28.2), purified from a specific hybridoma (anti-hCD3; OKT-3) or generated in-house (anti-CD46; TRA-2-10) </w:t>
      </w:r>
      <w:r w:rsidR="00422EB7" w:rsidRPr="005B7AE3">
        <w:rPr>
          <w:rFonts w:ascii="Times New Roman" w:hAnsi="Times New Roman" w:cs="Times New Roman"/>
          <w:color w:val="000000" w:themeColor="text1"/>
        </w:rPr>
        <w:fldChar w:fldCharType="begin">
          <w:fldData xml:space="preserve">PEVuZE5vdGU+PENpdGU+PEF1dGhvcj5XYW5nPC9BdXRob3I+PFllYXI+MjAwMDwvWWVhcj48SURU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</w:fldData>
        </w:fldChar>
      </w:r>
      <w:r w:rsidR="00422EB7" w:rsidRPr="005B7AE3">
        <w:rPr>
          <w:rFonts w:ascii="Times New Roman" w:hAnsi="Times New Roman" w:cs="Times New Roman"/>
          <w:color w:val="000000" w:themeColor="text1"/>
        </w:rPr>
        <w:instrText xml:space="preserve"> ADDIN EN.CITE </w:instrText>
      </w:r>
      <w:r w:rsidR="00422EB7" w:rsidRPr="005B7AE3">
        <w:rPr>
          <w:rFonts w:ascii="Times New Roman" w:hAnsi="Times New Roman" w:cs="Times New Roman"/>
          <w:color w:val="000000" w:themeColor="text1"/>
        </w:rPr>
        <w:fldChar w:fldCharType="begin">
          <w:fldData xml:space="preserve">PEVuZE5vdGU+PENpdGU+PEF1dGhvcj5XYW5nPC9BdXRob3I+PFllYXI+MjAwMDwvWWVhcj48SURU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</w:fldData>
        </w:fldChar>
      </w:r>
      <w:r w:rsidR="00422EB7" w:rsidRPr="005B7AE3">
        <w:rPr>
          <w:rFonts w:ascii="Times New Roman" w:hAnsi="Times New Roman" w:cs="Times New Roman"/>
          <w:color w:val="000000" w:themeColor="text1"/>
        </w:rPr>
        <w:instrText xml:space="preserve"> ADDIN EN.CITE.DATA </w:instrText>
      </w:r>
      <w:r w:rsidR="00422EB7" w:rsidRPr="005B7AE3">
        <w:rPr>
          <w:rFonts w:ascii="Times New Roman" w:hAnsi="Times New Roman" w:cs="Times New Roman"/>
          <w:color w:val="000000" w:themeColor="text1"/>
        </w:rPr>
      </w:r>
      <w:r w:rsidR="00422EB7" w:rsidRPr="005B7AE3">
        <w:rPr>
          <w:rFonts w:ascii="Times New Roman" w:hAnsi="Times New Roman" w:cs="Times New Roman"/>
          <w:color w:val="000000" w:themeColor="text1"/>
        </w:rPr>
        <w:fldChar w:fldCharType="end"/>
      </w:r>
      <w:r w:rsidR="00422EB7" w:rsidRPr="005B7AE3">
        <w:rPr>
          <w:rFonts w:ascii="Times New Roman" w:hAnsi="Times New Roman" w:cs="Times New Roman"/>
          <w:color w:val="000000" w:themeColor="text1"/>
        </w:rPr>
      </w:r>
      <w:r w:rsidR="00422EB7" w:rsidRPr="005B7AE3">
        <w:rPr>
          <w:rFonts w:ascii="Times New Roman" w:hAnsi="Times New Roman" w:cs="Times New Roman"/>
          <w:color w:val="000000" w:themeColor="text1"/>
        </w:rPr>
        <w:fldChar w:fldCharType="separate"/>
      </w:r>
      <w:r w:rsidR="00422EB7" w:rsidRPr="005B7AE3">
        <w:rPr>
          <w:rFonts w:ascii="Times New Roman" w:hAnsi="Times New Roman" w:cs="Times New Roman"/>
          <w:noProof/>
          <w:color w:val="000000" w:themeColor="text1"/>
        </w:rPr>
        <w:t>(Wang et al., 2000)</w:t>
      </w:r>
      <w:r w:rsidR="00422EB7" w:rsidRPr="005B7AE3">
        <w:rPr>
          <w:rFonts w:ascii="Times New Roman" w:hAnsi="Times New Roman" w:cs="Times New Roman"/>
          <w:color w:val="000000" w:themeColor="text1"/>
        </w:rPr>
        <w:fldChar w:fldCharType="end"/>
      </w:r>
      <w:r w:rsidR="00422EB7" w:rsidRPr="005B7AE3">
        <w:rPr>
          <w:rFonts w:ascii="Times New Roman" w:hAnsi="Times New Roman" w:cs="Times New Roman"/>
          <w:color w:val="000000" w:themeColor="text1"/>
        </w:rPr>
        <w:t xml:space="preserve">. </w:t>
      </w:r>
      <w:r w:rsidRPr="005B7AE3">
        <w:rPr>
          <w:rFonts w:ascii="Times New Roman" w:hAnsi="Times New Roman" w:cs="Times New Roman"/>
          <w:color w:val="000000" w:themeColor="text1"/>
        </w:rPr>
        <w:t xml:space="preserve">Mouse T cells were activated with anti-CD3 (145-2C11) and anti-CD28 (37.51) from Bio X Cell (West Lebanon, NH). </w:t>
      </w:r>
      <w:r w:rsidR="000B010A" w:rsidRPr="005B7AE3">
        <w:rPr>
          <w:rFonts w:ascii="Times New Roman" w:hAnsi="Times New Roman" w:cs="Times New Roman"/>
          <w:color w:val="000000" w:themeColor="text1"/>
        </w:rPr>
        <w:t>The m</w:t>
      </w:r>
      <w:r w:rsidR="006F0F92" w:rsidRPr="005B7AE3">
        <w:rPr>
          <w:rFonts w:ascii="Times New Roman" w:hAnsi="Times New Roman" w:cs="Times New Roman"/>
          <w:color w:val="000000" w:themeColor="text1"/>
        </w:rPr>
        <w:t>onoclonal</w:t>
      </w:r>
      <w:r w:rsidR="005D6FB8" w:rsidRPr="005B7AE3">
        <w:rPr>
          <w:rFonts w:ascii="Times New Roman" w:hAnsi="Times New Roman" w:cs="Times New Roman"/>
          <w:color w:val="000000" w:themeColor="text1"/>
        </w:rPr>
        <w:t xml:space="preserve"> antibody</w:t>
      </w:r>
      <w:r w:rsidR="003B5B66" w:rsidRPr="005B7AE3">
        <w:rPr>
          <w:rFonts w:ascii="Times New Roman" w:hAnsi="Times New Roman" w:cs="Times New Roman"/>
          <w:color w:val="000000" w:themeColor="text1"/>
        </w:rPr>
        <w:t xml:space="preserve"> to </w:t>
      </w:r>
      <w:r w:rsidR="00F35687" w:rsidRPr="005B7AE3">
        <w:rPr>
          <w:rFonts w:ascii="Times New Roman" w:hAnsi="Times New Roman" w:cs="Times New Roman"/>
          <w:color w:val="000000" w:themeColor="text1"/>
        </w:rPr>
        <w:t xml:space="preserve">human </w:t>
      </w:r>
      <w:r w:rsidR="006F0F92" w:rsidRPr="005B7AE3">
        <w:rPr>
          <w:rFonts w:ascii="Times New Roman" w:hAnsi="Times New Roman" w:cs="Times New Roman"/>
          <w:color w:val="000000" w:themeColor="text1"/>
        </w:rPr>
        <w:t>C3a/C3adesArg (clone 2991, ab11873) w</w:t>
      </w:r>
      <w:r w:rsidR="00F35687" w:rsidRPr="005B7AE3">
        <w:rPr>
          <w:rFonts w:ascii="Times New Roman" w:hAnsi="Times New Roman" w:cs="Times New Roman"/>
          <w:color w:val="000000" w:themeColor="text1"/>
        </w:rPr>
        <w:t>as</w:t>
      </w:r>
      <w:r w:rsidR="006F0F92" w:rsidRPr="005B7AE3">
        <w:rPr>
          <w:rFonts w:ascii="Times New Roman" w:hAnsi="Times New Roman" w:cs="Times New Roman"/>
          <w:color w:val="000000" w:themeColor="text1"/>
        </w:rPr>
        <w:t xml:space="preserve"> purchased from Abcam (Cambridge, UK)</w:t>
      </w:r>
      <w:r w:rsidR="00F35687" w:rsidRPr="005B7AE3">
        <w:rPr>
          <w:rFonts w:ascii="Times New Roman" w:hAnsi="Times New Roman" w:cs="Times New Roman"/>
          <w:color w:val="000000" w:themeColor="text1"/>
        </w:rPr>
        <w:t xml:space="preserve"> and the </w:t>
      </w:r>
      <w:r w:rsidR="000B010A" w:rsidRPr="005B7AE3">
        <w:rPr>
          <w:rFonts w:ascii="Times New Roman" w:hAnsi="Times New Roman" w:cs="Times New Roman"/>
          <w:color w:val="000000" w:themeColor="text1"/>
        </w:rPr>
        <w:t>antibody</w:t>
      </w:r>
      <w:r w:rsidR="00F35687" w:rsidRPr="005B7AE3">
        <w:rPr>
          <w:rFonts w:ascii="Times New Roman" w:hAnsi="Times New Roman" w:cs="Times New Roman"/>
          <w:color w:val="000000" w:themeColor="text1"/>
        </w:rPr>
        <w:t xml:space="preserve"> detecting the mouse C3a neo</w:t>
      </w:r>
      <w:r w:rsidR="000B010A" w:rsidRPr="005B7AE3">
        <w:rPr>
          <w:rFonts w:ascii="Times New Roman" w:hAnsi="Times New Roman" w:cs="Times New Roman"/>
          <w:color w:val="000000" w:themeColor="text1"/>
        </w:rPr>
        <w:t xml:space="preserve">-epitope from </w:t>
      </w:r>
      <w:proofErr w:type="spellStart"/>
      <w:r w:rsidR="000B010A" w:rsidRPr="005B7AE3">
        <w:rPr>
          <w:rFonts w:ascii="Times New Roman" w:hAnsi="Times New Roman" w:cs="Times New Roman"/>
          <w:color w:val="000000" w:themeColor="text1"/>
        </w:rPr>
        <w:t>Hycult</w:t>
      </w:r>
      <w:proofErr w:type="spellEnd"/>
      <w:r w:rsidR="000B010A" w:rsidRPr="005B7AE3">
        <w:rPr>
          <w:rFonts w:ascii="Times New Roman" w:hAnsi="Times New Roman" w:cs="Times New Roman"/>
          <w:color w:val="000000" w:themeColor="text1"/>
        </w:rPr>
        <w:t xml:space="preserve"> Biotech (clone 3/11; </w:t>
      </w:r>
      <w:proofErr w:type="spellStart"/>
      <w:r w:rsidR="000B010A" w:rsidRPr="005B7AE3">
        <w:rPr>
          <w:rFonts w:ascii="Times New Roman" w:hAnsi="Times New Roman" w:cs="Times New Roman"/>
          <w:color w:val="000000" w:themeColor="text1"/>
        </w:rPr>
        <w:t>Uden</w:t>
      </w:r>
      <w:proofErr w:type="spellEnd"/>
      <w:r w:rsidR="000B010A" w:rsidRPr="005B7AE3">
        <w:rPr>
          <w:rFonts w:ascii="Times New Roman" w:hAnsi="Times New Roman" w:cs="Times New Roman"/>
          <w:color w:val="000000" w:themeColor="text1"/>
        </w:rPr>
        <w:t>, The Netherlands)</w:t>
      </w:r>
      <w:r w:rsidR="006F0F92" w:rsidRPr="005B7AE3">
        <w:rPr>
          <w:rFonts w:ascii="Times New Roman" w:hAnsi="Times New Roman" w:cs="Times New Roman"/>
          <w:color w:val="000000" w:themeColor="text1"/>
        </w:rPr>
        <w:t xml:space="preserve">. </w:t>
      </w:r>
      <w:r w:rsidR="00340E5D" w:rsidRPr="005B7AE3">
        <w:rPr>
          <w:rFonts w:ascii="Times New Roman" w:hAnsi="Times New Roman" w:cs="Times New Roman"/>
          <w:color w:val="000000" w:themeColor="text1"/>
        </w:rPr>
        <w:t xml:space="preserve">The </w:t>
      </w:r>
      <w:r w:rsidR="006F0F92" w:rsidRPr="005B7AE3">
        <w:rPr>
          <w:rFonts w:ascii="Times New Roman" w:hAnsi="Times New Roman" w:cs="Times New Roman"/>
          <w:color w:val="000000" w:themeColor="text1"/>
        </w:rPr>
        <w:t>AEP inhibitor was generated by Dr</w:t>
      </w:r>
      <w:r w:rsidR="00340E5D" w:rsidRPr="005B7AE3">
        <w:rPr>
          <w:rFonts w:ascii="Times New Roman" w:hAnsi="Times New Roman" w:cs="Times New Roman"/>
          <w:color w:val="000000" w:themeColor="text1"/>
        </w:rPr>
        <w:t>.</w:t>
      </w:r>
      <w:r w:rsidR="006F0F92" w:rsidRPr="005B7AE3">
        <w:rPr>
          <w:rFonts w:ascii="Times New Roman" w:hAnsi="Times New Roman" w:cs="Times New Roman"/>
          <w:color w:val="000000" w:themeColor="text1"/>
        </w:rPr>
        <w:t xml:space="preserve"> Colin Watts </w:t>
      </w:r>
      <w:r w:rsidR="00340E5D" w:rsidRPr="005B7AE3">
        <w:rPr>
          <w:rFonts w:ascii="Times New Roman" w:hAnsi="Times New Roman" w:cs="Times New Roman"/>
          <w:color w:val="000000" w:themeColor="text1"/>
        </w:rPr>
        <w:t>as</w:t>
      </w:r>
      <w:r w:rsidR="006F0F92" w:rsidRPr="005B7AE3">
        <w:rPr>
          <w:rFonts w:ascii="Times New Roman" w:hAnsi="Times New Roman" w:cs="Times New Roman"/>
          <w:color w:val="000000" w:themeColor="text1"/>
        </w:rPr>
        <w:t xml:space="preserve"> previously described </w:t>
      </w:r>
      <w:r w:rsidR="00422EB7" w:rsidRPr="005B7AE3">
        <w:rPr>
          <w:rFonts w:ascii="Times New Roman" w:hAnsi="Times New Roman" w:cs="Times New Roman"/>
          <w:color w:val="000000" w:themeColor="text1"/>
        </w:rPr>
        <w:fldChar w:fldCharType="begin"/>
      </w:r>
      <w:r w:rsidR="00422EB7" w:rsidRPr="005B7AE3">
        <w:rPr>
          <w:rFonts w:ascii="Times New Roman" w:hAnsi="Times New Roman" w:cs="Times New Roman"/>
          <w:color w:val="000000" w:themeColor="text1"/>
        </w:rPr>
        <w:instrText xml:space="preserve"> ADDIN EN.CITE &lt;EndNote&gt;&lt;Cite&gt;&lt;Author&gt;Loak&lt;/Author&gt;&lt;Year&gt;2003&lt;/Year&gt;&lt;IDText&gt;Novel cell-permeable acyloxymethylketone inhibitors of asparaginyl endopeptidase&lt;/IDText&gt;&lt;DisplayText&gt;(Loak et al., 2003)&lt;/DisplayText&gt;&lt;record&gt;&lt;dates&gt;&lt;pub-dates&gt;&lt;date&gt;Aug&lt;/date&gt;&lt;/pub-dates&gt;&lt;year&gt;2003&lt;/year&gt;&lt;/dates&gt;&lt;keywords&gt;&lt;keyword&gt;Animals&lt;/keyword&gt;&lt;keyword&gt;Antigen Presentation&lt;/keyword&gt;&lt;keyword&gt;Antigens, Bacterial&lt;/keyword&gt;&lt;keyword&gt;B-Lymphocytes&lt;/keyword&gt;&lt;keyword&gt;Benzoates&lt;/keyword&gt;&lt;keyword&gt;Catalysis&lt;/keyword&gt;&lt;keyword&gt;Cell Line, Tumor&lt;/keyword&gt;&lt;keyword&gt;Cell Membrane Permeability&lt;/keyword&gt;&lt;keyword&gt;Cysteine Proteinase Inhibitors&lt;/keyword&gt;&lt;keyword&gt;Humans&lt;/keyword&gt;&lt;keyword&gt;Kinetics&lt;/keyword&gt;&lt;keyword&gt;Molecular Structure&lt;/keyword&gt;&lt;keyword&gt;Structure-Activity Relationship&lt;/keyword&gt;&lt;keyword&gt;Substrate Specificity&lt;/keyword&gt;&lt;keyword&gt;T-Lymphocytes&lt;/keyword&gt;&lt;/keywords&gt;&lt;urls&gt;&lt;related-urls&gt;&lt;url&gt;https://www.ncbi.nlm.nih.gov/pubmed/12974392&lt;/url&gt;&lt;/related-urls&gt;&lt;/urls&gt;&lt;isbn&gt;1431-6730&lt;/isbn&gt;&lt;titles&gt;&lt;title&gt;Novel cell-permeable acyloxymethylketone inhibitors of asparaginyl endopeptidase&lt;/title&gt;&lt;secondary-title&gt;Biol Chem&lt;/secondary-title&gt;&lt;/titles&gt;&lt;pages&gt;1239-46&lt;/pages&gt;&lt;number&gt;8&lt;/number&gt;&lt;contributors&gt;&lt;authors&gt;&lt;author&gt;Loak, K.&lt;/author&gt;&lt;author&gt;Li, D. N.&lt;/author&gt;&lt;author&gt;Manoury, B.&lt;/author&gt;&lt;author&gt;Billson, J.&lt;/author&gt;&lt;author&gt;Morton, F.&lt;/author&gt;&lt;author&gt;Hewitt, E.&lt;/author&gt;&lt;author&gt;Watts, C.&lt;/author&gt;&lt;/authors&gt;&lt;/contributors&gt;&lt;language&gt;eng&lt;/language&gt;&lt;added-date format="utc"&gt;1522233188&lt;/added-date&gt;&lt;ref-type name="Journal Article"&gt;17&lt;/ref-type&gt;&lt;rec-number&gt;1488&lt;/rec-number&gt;&lt;last-updated-date format="utc"&gt;1522233188&lt;/last-updated-date&gt;&lt;accession-num&gt;12974392&lt;/accession-num&gt;&lt;electronic-resource-num&gt;10.1515/BC.2003.136&lt;/electronic-resource-num&gt;&lt;volume&gt;384&lt;/volume&gt;&lt;/record&gt;&lt;/Cite&gt;&lt;/EndNote&gt;</w:instrText>
      </w:r>
      <w:r w:rsidR="00422EB7" w:rsidRPr="005B7AE3">
        <w:rPr>
          <w:rFonts w:ascii="Times New Roman" w:hAnsi="Times New Roman" w:cs="Times New Roman"/>
          <w:color w:val="000000" w:themeColor="text1"/>
        </w:rPr>
        <w:fldChar w:fldCharType="separate"/>
      </w:r>
      <w:r w:rsidR="00422EB7" w:rsidRPr="005B7AE3">
        <w:rPr>
          <w:rFonts w:ascii="Times New Roman" w:hAnsi="Times New Roman" w:cs="Times New Roman"/>
          <w:noProof/>
          <w:color w:val="000000" w:themeColor="text1"/>
        </w:rPr>
        <w:t>(Loak et al., 2003)</w:t>
      </w:r>
      <w:r w:rsidR="00422EB7" w:rsidRPr="005B7AE3">
        <w:rPr>
          <w:rFonts w:ascii="Times New Roman" w:hAnsi="Times New Roman" w:cs="Times New Roman"/>
          <w:color w:val="000000" w:themeColor="text1"/>
        </w:rPr>
        <w:fldChar w:fldCharType="end"/>
      </w:r>
      <w:r w:rsidR="00422EB7" w:rsidRPr="005B7AE3">
        <w:rPr>
          <w:rFonts w:ascii="Times New Roman" w:hAnsi="Times New Roman" w:cs="Times New Roman"/>
          <w:color w:val="000000" w:themeColor="text1"/>
        </w:rPr>
        <w:t xml:space="preserve"> </w:t>
      </w:r>
      <w:r w:rsidR="00340E5D" w:rsidRPr="005B7AE3">
        <w:rPr>
          <w:rFonts w:ascii="Times New Roman" w:hAnsi="Times New Roman" w:cs="Times New Roman"/>
          <w:color w:val="000000" w:themeColor="text1"/>
        </w:rPr>
        <w:t xml:space="preserve">and utilized at 5, 25 or 50 </w:t>
      </w:r>
      <w:r w:rsidR="00340E5D" w:rsidRPr="005B7AE3">
        <w:rPr>
          <w:rFonts w:ascii="Symbol" w:hAnsi="Symbol" w:cs="Times New Roman"/>
          <w:color w:val="000000" w:themeColor="text1"/>
        </w:rPr>
        <w:t></w:t>
      </w:r>
      <w:r w:rsidR="00340E5D" w:rsidRPr="005B7AE3">
        <w:rPr>
          <w:rFonts w:ascii="Times New Roman" w:hAnsi="Times New Roman" w:cs="Times New Roman"/>
          <w:color w:val="000000" w:themeColor="text1"/>
        </w:rPr>
        <w:t>M concentrations as indicated</w:t>
      </w:r>
      <w:r w:rsidR="00FF0480" w:rsidRPr="005B7AE3">
        <w:rPr>
          <w:rFonts w:ascii="Times New Roman" w:hAnsi="Times New Roman" w:cs="Times New Roman"/>
          <w:color w:val="000000" w:themeColor="text1"/>
        </w:rPr>
        <w:t>.  The anti-AEP antibody (ab232870) as well as the cathepsin L antibody (ab95154) were bought from Abcam.</w:t>
      </w:r>
      <w:r w:rsidR="00FC79C7" w:rsidRPr="005B7AE3">
        <w:rPr>
          <w:rFonts w:ascii="Times New Roman" w:hAnsi="Times New Roman" w:cs="Times New Roman"/>
          <w:color w:val="000000" w:themeColor="text1"/>
        </w:rPr>
        <w:t xml:space="preserve"> </w:t>
      </w:r>
      <w:r w:rsidR="00340E5D" w:rsidRPr="005B7AE3">
        <w:rPr>
          <w:rFonts w:ascii="Times New Roman" w:hAnsi="Times New Roman" w:cs="Times New Roman"/>
          <w:color w:val="000000" w:themeColor="text1"/>
        </w:rPr>
        <w:t>The anti-</w:t>
      </w:r>
      <w:r w:rsidR="009356F1" w:rsidRPr="005B7AE3">
        <w:rPr>
          <w:rFonts w:ascii="Times New Roman" w:hAnsi="Times New Roman" w:cs="Times New Roman"/>
          <w:color w:val="000000" w:themeColor="text1"/>
        </w:rPr>
        <w:t>IFN-γ (502515 human and 505813 mouse</w:t>
      </w:r>
      <w:r w:rsidR="00422EB7" w:rsidRPr="005B7AE3">
        <w:rPr>
          <w:rFonts w:ascii="Times New Roman" w:hAnsi="Times New Roman" w:cs="Times New Roman"/>
          <w:color w:val="000000" w:themeColor="text1"/>
        </w:rPr>
        <w:t>,</w:t>
      </w:r>
      <w:r w:rsidR="003B5B66" w:rsidRPr="005B7AE3">
        <w:rPr>
          <w:rFonts w:ascii="Times New Roman" w:hAnsi="Times New Roman" w:cs="Times New Roman"/>
          <w:color w:val="000000" w:themeColor="text1"/>
        </w:rPr>
        <w:t xml:space="preserve"> respectively</w:t>
      </w:r>
      <w:r w:rsidR="009356F1" w:rsidRPr="005B7AE3">
        <w:rPr>
          <w:rFonts w:ascii="Times New Roman" w:hAnsi="Times New Roman" w:cs="Times New Roman"/>
          <w:color w:val="000000" w:themeColor="text1"/>
        </w:rPr>
        <w:t xml:space="preserve">) and </w:t>
      </w:r>
      <w:r w:rsidR="00FF0480" w:rsidRPr="005B7AE3">
        <w:rPr>
          <w:rFonts w:ascii="Times New Roman" w:hAnsi="Times New Roman" w:cs="Times New Roman"/>
          <w:color w:val="000000" w:themeColor="text1"/>
        </w:rPr>
        <w:t>anti-</w:t>
      </w:r>
      <w:r w:rsidR="009356F1" w:rsidRPr="005B7AE3">
        <w:rPr>
          <w:rFonts w:ascii="Times New Roman" w:hAnsi="Times New Roman" w:cs="Times New Roman"/>
          <w:color w:val="000000" w:themeColor="text1"/>
        </w:rPr>
        <w:t xml:space="preserve">IL-10 </w:t>
      </w:r>
      <w:r w:rsidR="000B010A" w:rsidRPr="005B7AE3">
        <w:rPr>
          <w:rFonts w:ascii="Times New Roman" w:hAnsi="Times New Roman" w:cs="Times New Roman"/>
          <w:color w:val="000000" w:themeColor="text1"/>
        </w:rPr>
        <w:t xml:space="preserve">antibodies </w:t>
      </w:r>
      <w:r w:rsidR="009356F1" w:rsidRPr="005B7AE3">
        <w:rPr>
          <w:rFonts w:ascii="Times New Roman" w:hAnsi="Times New Roman" w:cs="Times New Roman"/>
          <w:color w:val="000000" w:themeColor="text1"/>
        </w:rPr>
        <w:t xml:space="preserve">(506804 human and 505010 mouse) were </w:t>
      </w:r>
      <w:r w:rsidR="00422EB7" w:rsidRPr="005B7AE3">
        <w:rPr>
          <w:rFonts w:ascii="Times New Roman" w:hAnsi="Times New Roman" w:cs="Times New Roman"/>
          <w:color w:val="000000" w:themeColor="text1"/>
        </w:rPr>
        <w:t xml:space="preserve">obtained </w:t>
      </w:r>
      <w:r w:rsidR="009356F1" w:rsidRPr="005B7AE3">
        <w:rPr>
          <w:rFonts w:ascii="Times New Roman" w:hAnsi="Times New Roman" w:cs="Times New Roman"/>
          <w:color w:val="000000" w:themeColor="text1"/>
        </w:rPr>
        <w:t xml:space="preserve">from </w:t>
      </w:r>
      <w:proofErr w:type="spellStart"/>
      <w:r w:rsidR="009356F1" w:rsidRPr="005B7AE3">
        <w:rPr>
          <w:rFonts w:ascii="Times New Roman" w:hAnsi="Times New Roman" w:cs="Times New Roman"/>
          <w:color w:val="000000" w:themeColor="text1"/>
        </w:rPr>
        <w:t>Biolegend</w:t>
      </w:r>
      <w:proofErr w:type="spellEnd"/>
      <w:r w:rsidR="009356F1" w:rsidRPr="005B7AE3">
        <w:rPr>
          <w:rFonts w:ascii="Times New Roman" w:hAnsi="Times New Roman" w:cs="Times New Roman"/>
          <w:color w:val="000000" w:themeColor="text1"/>
        </w:rPr>
        <w:t xml:space="preserve"> (San Diego, CA).</w:t>
      </w:r>
      <w:r w:rsidR="00422EB7" w:rsidRPr="005B7AE3">
        <w:rPr>
          <w:rFonts w:ascii="Times New Roman" w:hAnsi="Times New Roman" w:cs="Times New Roman"/>
          <w:color w:val="000000" w:themeColor="text1"/>
        </w:rPr>
        <w:t xml:space="preserve"> Recombinant </w:t>
      </w:r>
      <w:r w:rsidR="00422EB7" w:rsidRPr="005B7AE3">
        <w:rPr>
          <w:rFonts w:ascii="Symbol" w:hAnsi="Symbol" w:cs="Times New Roman"/>
          <w:color w:val="000000" w:themeColor="text1"/>
        </w:rPr>
        <w:t></w:t>
      </w:r>
      <w:r w:rsidR="00422EB7" w:rsidRPr="005B7AE3">
        <w:rPr>
          <w:rFonts w:ascii="Times New Roman" w:hAnsi="Times New Roman" w:cs="Times New Roman"/>
          <w:color w:val="000000" w:themeColor="text1"/>
        </w:rPr>
        <w:t>1-</w:t>
      </w:r>
      <w:r w:rsidR="00C83738" w:rsidRPr="005B7AE3">
        <w:rPr>
          <w:rFonts w:ascii="Times New Roman" w:hAnsi="Times New Roman" w:cs="Times New Roman"/>
          <w:color w:val="000000" w:themeColor="text1"/>
        </w:rPr>
        <w:t xml:space="preserve">thymosin </w:t>
      </w:r>
      <w:r w:rsidR="00422EB7" w:rsidRPr="005B7AE3">
        <w:rPr>
          <w:rFonts w:ascii="Times New Roman" w:hAnsi="Times New Roman" w:cs="Times New Roman"/>
          <w:color w:val="000000" w:themeColor="text1"/>
        </w:rPr>
        <w:t xml:space="preserve">protein </w:t>
      </w:r>
      <w:r w:rsidR="00C83738" w:rsidRPr="005B7AE3">
        <w:rPr>
          <w:rFonts w:ascii="Times New Roman" w:hAnsi="Times New Roman" w:cs="Times New Roman"/>
          <w:color w:val="000000" w:themeColor="text1"/>
        </w:rPr>
        <w:t xml:space="preserve">was </w:t>
      </w:r>
      <w:r w:rsidR="00422EB7" w:rsidRPr="005B7AE3">
        <w:rPr>
          <w:rFonts w:ascii="Times New Roman" w:hAnsi="Times New Roman" w:cs="Times New Roman"/>
          <w:color w:val="000000" w:themeColor="text1"/>
        </w:rPr>
        <w:t xml:space="preserve">purchased </w:t>
      </w:r>
      <w:r w:rsidR="00C83738" w:rsidRPr="005B7AE3">
        <w:rPr>
          <w:rFonts w:ascii="Times New Roman" w:hAnsi="Times New Roman" w:cs="Times New Roman"/>
          <w:color w:val="000000" w:themeColor="text1"/>
        </w:rPr>
        <w:t xml:space="preserve">from </w:t>
      </w:r>
      <w:proofErr w:type="spellStart"/>
      <w:r w:rsidR="00422EB7" w:rsidRPr="005B7AE3">
        <w:rPr>
          <w:rFonts w:ascii="Times New Roman" w:hAnsi="Times New Roman" w:cs="Times New Roman"/>
          <w:color w:val="000000" w:themeColor="text1"/>
        </w:rPr>
        <w:t>from</w:t>
      </w:r>
      <w:proofErr w:type="spellEnd"/>
      <w:r w:rsidR="00422EB7" w:rsidRPr="005B7AE3">
        <w:rPr>
          <w:rFonts w:ascii="Times New Roman" w:hAnsi="Times New Roman" w:cs="Times New Roman"/>
          <w:color w:val="000000" w:themeColor="text1"/>
        </w:rPr>
        <w:t xml:space="preserve"> Iris </w:t>
      </w:r>
      <w:proofErr w:type="spellStart"/>
      <w:r w:rsidR="00422EB7" w:rsidRPr="005B7AE3">
        <w:rPr>
          <w:rFonts w:ascii="Times New Roman" w:hAnsi="Times New Roman" w:cs="Times New Roman"/>
          <w:color w:val="000000" w:themeColor="text1"/>
        </w:rPr>
        <w:t>Biothech</w:t>
      </w:r>
      <w:proofErr w:type="spellEnd"/>
      <w:r w:rsidR="00422EB7" w:rsidRPr="005B7AE3">
        <w:rPr>
          <w:rFonts w:ascii="Times New Roman" w:hAnsi="Times New Roman" w:cs="Times New Roman"/>
          <w:color w:val="000000" w:themeColor="text1"/>
        </w:rPr>
        <w:t xml:space="preserve"> GmbH (</w:t>
      </w:r>
      <w:proofErr w:type="spellStart"/>
      <w:r w:rsidR="00422EB7" w:rsidRPr="005B7AE3">
        <w:rPr>
          <w:rFonts w:ascii="Times New Roman" w:hAnsi="Times New Roman" w:cs="Times New Roman"/>
          <w:color w:val="000000" w:themeColor="text1"/>
        </w:rPr>
        <w:t>Markytdwitz</w:t>
      </w:r>
      <w:proofErr w:type="spellEnd"/>
      <w:r w:rsidR="00422EB7" w:rsidRPr="005B7AE3">
        <w:rPr>
          <w:rFonts w:ascii="Times New Roman" w:hAnsi="Times New Roman" w:cs="Times New Roman"/>
          <w:color w:val="000000" w:themeColor="text1"/>
        </w:rPr>
        <w:t xml:space="preserve">, Germany). </w:t>
      </w:r>
      <w:r w:rsidR="00FF0480" w:rsidRPr="005B7AE3">
        <w:rPr>
          <w:rFonts w:ascii="Times New Roman" w:hAnsi="Times New Roman" w:cs="Times New Roman"/>
          <w:color w:val="000000" w:themeColor="text1"/>
        </w:rPr>
        <w:t>Recombinant m</w:t>
      </w:r>
      <w:r w:rsidR="00422EB7" w:rsidRPr="005B7AE3">
        <w:rPr>
          <w:rFonts w:ascii="Times New Roman" w:hAnsi="Times New Roman" w:cs="Times New Roman"/>
          <w:color w:val="000000" w:themeColor="text1"/>
        </w:rPr>
        <w:t xml:space="preserve">ouse IL-12 (577008), IL-4 (574308), </w:t>
      </w:r>
      <w:r w:rsidR="00FF0480" w:rsidRPr="005B7AE3">
        <w:rPr>
          <w:rFonts w:ascii="Times New Roman" w:hAnsi="Times New Roman" w:cs="Times New Roman"/>
          <w:color w:val="000000" w:themeColor="text1"/>
        </w:rPr>
        <w:t xml:space="preserve">and </w:t>
      </w:r>
      <w:r w:rsidR="00422EB7" w:rsidRPr="005B7AE3">
        <w:rPr>
          <w:rFonts w:ascii="Times New Roman" w:hAnsi="Times New Roman" w:cs="Times New Roman"/>
          <w:color w:val="000000" w:themeColor="text1"/>
        </w:rPr>
        <w:t xml:space="preserve">IL-1β (575108) </w:t>
      </w:r>
      <w:r w:rsidR="00FF0480" w:rsidRPr="005B7AE3">
        <w:rPr>
          <w:rFonts w:ascii="Times New Roman" w:hAnsi="Times New Roman" w:cs="Times New Roman"/>
          <w:color w:val="000000" w:themeColor="text1"/>
        </w:rPr>
        <w:t xml:space="preserve">as well as the </w:t>
      </w:r>
      <w:r w:rsidR="00422EB7" w:rsidRPr="005B7AE3">
        <w:rPr>
          <w:rFonts w:ascii="Times New Roman" w:hAnsi="Times New Roman" w:cs="Times New Roman"/>
          <w:color w:val="000000" w:themeColor="text1"/>
        </w:rPr>
        <w:t>and anti-IFN-γ (575308)</w:t>
      </w:r>
      <w:r w:rsidR="00FF0480" w:rsidRPr="005B7AE3">
        <w:rPr>
          <w:rFonts w:ascii="Times New Roman" w:hAnsi="Times New Roman" w:cs="Times New Roman"/>
          <w:color w:val="000000" w:themeColor="text1"/>
        </w:rPr>
        <w:t xml:space="preserve"> and</w:t>
      </w:r>
      <w:r w:rsidR="00422EB7" w:rsidRPr="005B7AE3">
        <w:rPr>
          <w:rFonts w:ascii="Times New Roman" w:hAnsi="Times New Roman" w:cs="Times New Roman"/>
          <w:color w:val="000000" w:themeColor="text1"/>
        </w:rPr>
        <w:t xml:space="preserve"> anti-IL-4 (504108) </w:t>
      </w:r>
      <w:r w:rsidR="000B010A" w:rsidRPr="005B7AE3">
        <w:rPr>
          <w:rFonts w:ascii="Times New Roman" w:hAnsi="Times New Roman" w:cs="Times New Roman"/>
          <w:color w:val="000000" w:themeColor="text1"/>
        </w:rPr>
        <w:t xml:space="preserve">antibodies </w:t>
      </w:r>
      <w:r w:rsidR="00422EB7" w:rsidRPr="005B7AE3">
        <w:rPr>
          <w:rFonts w:ascii="Times New Roman" w:hAnsi="Times New Roman" w:cs="Times New Roman"/>
          <w:color w:val="000000" w:themeColor="text1"/>
        </w:rPr>
        <w:t xml:space="preserve">used for mouse Th1, Th2 and Th17 induction </w:t>
      </w:r>
      <w:r w:rsidR="00FF0480" w:rsidRPr="005B7AE3">
        <w:rPr>
          <w:rFonts w:ascii="Times New Roman" w:hAnsi="Times New Roman" w:cs="Times New Roman"/>
          <w:color w:val="000000" w:themeColor="text1"/>
        </w:rPr>
        <w:t>were obtained</w:t>
      </w:r>
      <w:r w:rsidR="00422EB7" w:rsidRPr="005B7AE3">
        <w:rPr>
          <w:rFonts w:ascii="Times New Roman" w:hAnsi="Times New Roman" w:cs="Times New Roman"/>
          <w:color w:val="000000" w:themeColor="text1"/>
        </w:rPr>
        <w:t xml:space="preserve"> from </w:t>
      </w:r>
      <w:proofErr w:type="spellStart"/>
      <w:r w:rsidR="00422EB7" w:rsidRPr="005B7AE3">
        <w:rPr>
          <w:rFonts w:ascii="Times New Roman" w:hAnsi="Times New Roman" w:cs="Times New Roman"/>
          <w:color w:val="000000" w:themeColor="text1"/>
        </w:rPr>
        <w:t>Biolegend</w:t>
      </w:r>
      <w:proofErr w:type="spellEnd"/>
      <w:r w:rsidR="00422EB7" w:rsidRPr="005B7AE3">
        <w:rPr>
          <w:rFonts w:ascii="Times New Roman" w:hAnsi="Times New Roman" w:cs="Times New Roman"/>
          <w:color w:val="000000" w:themeColor="text1"/>
        </w:rPr>
        <w:t xml:space="preserve"> (San Diego, CA). </w:t>
      </w:r>
      <w:r w:rsidR="000B010A" w:rsidRPr="005B7AE3">
        <w:rPr>
          <w:rFonts w:ascii="Times New Roman" w:hAnsi="Times New Roman" w:cs="Times New Roman"/>
          <w:color w:val="000000" w:themeColor="text1"/>
        </w:rPr>
        <w:t>R</w:t>
      </w:r>
      <w:r w:rsidR="00FF0480" w:rsidRPr="005B7AE3">
        <w:rPr>
          <w:rFonts w:ascii="Times New Roman" w:hAnsi="Times New Roman" w:cs="Times New Roman"/>
          <w:color w:val="000000" w:themeColor="text1"/>
        </w:rPr>
        <w:t xml:space="preserve">ecombinant </w:t>
      </w:r>
      <w:r w:rsidR="00422EB7" w:rsidRPr="005B7AE3">
        <w:rPr>
          <w:rFonts w:ascii="Times New Roman" w:hAnsi="Times New Roman" w:cs="Times New Roman"/>
          <w:color w:val="000000" w:themeColor="text1"/>
        </w:rPr>
        <w:t xml:space="preserve">TGF-β (P0402) was purchased from </w:t>
      </w:r>
      <w:proofErr w:type="spellStart"/>
      <w:r w:rsidR="00422EB7" w:rsidRPr="005B7AE3">
        <w:rPr>
          <w:rFonts w:ascii="Times New Roman" w:hAnsi="Times New Roman" w:cs="Times New Roman"/>
          <w:color w:val="000000" w:themeColor="text1"/>
        </w:rPr>
        <w:t>Biotechne</w:t>
      </w:r>
      <w:proofErr w:type="spellEnd"/>
      <w:r w:rsidR="00422EB7" w:rsidRPr="005B7AE3">
        <w:rPr>
          <w:rFonts w:ascii="Times New Roman" w:hAnsi="Times New Roman" w:cs="Times New Roman"/>
          <w:color w:val="000000" w:themeColor="text1"/>
        </w:rPr>
        <w:t xml:space="preserve"> </w:t>
      </w:r>
      <w:r w:rsidR="00FF0480" w:rsidRPr="005B7AE3">
        <w:rPr>
          <w:rFonts w:ascii="Times New Roman" w:hAnsi="Times New Roman" w:cs="Times New Roman"/>
          <w:color w:val="000000" w:themeColor="text1"/>
        </w:rPr>
        <w:t xml:space="preserve">(Abingdon, UK) and the </w:t>
      </w:r>
      <w:r w:rsidR="00422EB7" w:rsidRPr="005B7AE3">
        <w:rPr>
          <w:rFonts w:ascii="Times New Roman" w:hAnsi="Times New Roman" w:cs="Times New Roman"/>
          <w:color w:val="000000" w:themeColor="text1"/>
        </w:rPr>
        <w:t>anti-</w:t>
      </w:r>
      <w:r w:rsidR="00FF0480" w:rsidRPr="005B7AE3">
        <w:rPr>
          <w:rFonts w:ascii="Times New Roman" w:hAnsi="Times New Roman" w:cs="Times New Roman"/>
          <w:color w:val="000000" w:themeColor="text1"/>
        </w:rPr>
        <w:t xml:space="preserve">mouse </w:t>
      </w:r>
      <w:r w:rsidR="00422EB7" w:rsidRPr="005B7AE3">
        <w:rPr>
          <w:rFonts w:ascii="Times New Roman" w:hAnsi="Times New Roman" w:cs="Times New Roman"/>
          <w:color w:val="000000" w:themeColor="text1"/>
        </w:rPr>
        <w:t xml:space="preserve">Foxp3 </w:t>
      </w:r>
      <w:r w:rsidR="000B010A" w:rsidRPr="005B7AE3">
        <w:rPr>
          <w:rFonts w:ascii="Times New Roman" w:hAnsi="Times New Roman" w:cs="Times New Roman"/>
          <w:color w:val="000000" w:themeColor="text1"/>
        </w:rPr>
        <w:t xml:space="preserve">antibody </w:t>
      </w:r>
      <w:r w:rsidR="00422EB7" w:rsidRPr="005B7AE3">
        <w:rPr>
          <w:rFonts w:ascii="Times New Roman" w:hAnsi="Times New Roman" w:cs="Times New Roman"/>
          <w:color w:val="000000" w:themeColor="text1"/>
        </w:rPr>
        <w:t xml:space="preserve">was purchased from BD </w:t>
      </w:r>
      <w:r w:rsidR="00FF0480" w:rsidRPr="005B7AE3">
        <w:rPr>
          <w:rFonts w:ascii="Times New Roman" w:hAnsi="Times New Roman" w:cs="Times New Roman"/>
          <w:color w:val="000000" w:themeColor="text1"/>
        </w:rPr>
        <w:t>Biosciences (56310; Wokingham</w:t>
      </w:r>
      <w:r w:rsidR="00422EB7" w:rsidRPr="005B7AE3">
        <w:rPr>
          <w:rFonts w:ascii="Times New Roman" w:hAnsi="Times New Roman" w:cs="Times New Roman"/>
          <w:color w:val="000000" w:themeColor="text1"/>
        </w:rPr>
        <w:t>,</w:t>
      </w:r>
      <w:r w:rsidR="00FF0480" w:rsidRPr="005B7AE3">
        <w:rPr>
          <w:rFonts w:ascii="Times New Roman" w:hAnsi="Times New Roman" w:cs="Times New Roman"/>
          <w:color w:val="000000" w:themeColor="text1"/>
        </w:rPr>
        <w:t xml:space="preserve"> </w:t>
      </w:r>
      <w:r w:rsidR="00422EB7" w:rsidRPr="005B7AE3">
        <w:rPr>
          <w:rFonts w:ascii="Times New Roman" w:hAnsi="Times New Roman" w:cs="Times New Roman"/>
          <w:color w:val="000000" w:themeColor="text1"/>
        </w:rPr>
        <w:t>UK). Secondary antibodies used in We</w:t>
      </w:r>
      <w:r w:rsidR="00FF0480" w:rsidRPr="005B7AE3">
        <w:rPr>
          <w:rFonts w:ascii="Times New Roman" w:hAnsi="Times New Roman" w:cs="Times New Roman"/>
          <w:color w:val="000000" w:themeColor="text1"/>
        </w:rPr>
        <w:t xml:space="preserve">stern blotting were from </w:t>
      </w:r>
      <w:proofErr w:type="spellStart"/>
      <w:r w:rsidR="00FF0480" w:rsidRPr="005B7AE3">
        <w:rPr>
          <w:rFonts w:ascii="Times New Roman" w:hAnsi="Times New Roman" w:cs="Times New Roman"/>
          <w:color w:val="000000" w:themeColor="text1"/>
        </w:rPr>
        <w:t>BioRad</w:t>
      </w:r>
      <w:proofErr w:type="spellEnd"/>
      <w:r w:rsidR="00FF0480" w:rsidRPr="005B7AE3">
        <w:rPr>
          <w:rFonts w:ascii="Times New Roman" w:hAnsi="Times New Roman" w:cs="Times New Roman"/>
          <w:color w:val="000000" w:themeColor="text1"/>
        </w:rPr>
        <w:t>:</w:t>
      </w:r>
      <w:r w:rsidR="00422EB7" w:rsidRPr="005B7AE3">
        <w:rPr>
          <w:rFonts w:ascii="Times New Roman" w:hAnsi="Times New Roman" w:cs="Times New Roman"/>
          <w:color w:val="000000" w:themeColor="text1"/>
        </w:rPr>
        <w:t xml:space="preserve"> donkey anti-rabbit IgG HRP (644005) or goat anti-mouse IgG HRP (0300-0108P). </w:t>
      </w:r>
      <w:r w:rsidR="00CB517E" w:rsidRPr="005B7AE3">
        <w:rPr>
          <w:rFonts w:ascii="Times New Roman" w:hAnsi="Times New Roman" w:cs="Times New Roman"/>
          <w:color w:val="000000" w:themeColor="text1"/>
        </w:rPr>
        <w:t xml:space="preserve">The anti-human </w:t>
      </w:r>
      <w:r w:rsidR="00CB517E" w:rsidRPr="005B7AE3">
        <w:rPr>
          <w:rFonts w:ascii="Times New Roman" w:eastAsia="Times New Roman" w:hAnsi="Times New Roman" w:cs="Times New Roman"/>
          <w:color w:val="000000" w:themeColor="text1"/>
        </w:rPr>
        <w:t xml:space="preserve">Foxp3-FITC </w:t>
      </w:r>
      <w:r w:rsidR="000B010A" w:rsidRPr="005B7AE3">
        <w:rPr>
          <w:rFonts w:ascii="Times New Roman" w:eastAsia="Times New Roman" w:hAnsi="Times New Roman" w:cs="Times New Roman"/>
          <w:color w:val="000000" w:themeColor="text1"/>
        </w:rPr>
        <w:t>antibody</w:t>
      </w:r>
      <w:r w:rsidR="00CB517E" w:rsidRPr="005B7AE3">
        <w:rPr>
          <w:rFonts w:ascii="Times New Roman" w:eastAsia="Times New Roman" w:hAnsi="Times New Roman" w:cs="Times New Roman"/>
          <w:color w:val="000000" w:themeColor="text1"/>
        </w:rPr>
        <w:t xml:space="preserve"> (clone #PCH101) was from </w:t>
      </w:r>
      <w:proofErr w:type="spellStart"/>
      <w:r w:rsidR="00CB517E" w:rsidRPr="005B7AE3">
        <w:rPr>
          <w:rFonts w:ascii="Times New Roman" w:eastAsia="Times New Roman" w:hAnsi="Times New Roman" w:cs="Times New Roman"/>
          <w:color w:val="000000" w:themeColor="text1"/>
        </w:rPr>
        <w:t>eBioscience</w:t>
      </w:r>
      <w:proofErr w:type="spellEnd"/>
      <w:r w:rsidR="00DE66EF" w:rsidRPr="005B7AE3">
        <w:rPr>
          <w:rFonts w:ascii="Times New Roman" w:eastAsia="Times New Roman" w:hAnsi="Times New Roman" w:cs="Times New Roman"/>
          <w:color w:val="000000" w:themeColor="text1"/>
        </w:rPr>
        <w:t xml:space="preserve"> (Waltham, MA)</w:t>
      </w:r>
      <w:r w:rsidR="00CB517E" w:rsidRPr="005B7AE3">
        <w:rPr>
          <w:rFonts w:ascii="Times New Roman" w:eastAsia="Times New Roman" w:hAnsi="Times New Roman" w:cs="Times New Roman"/>
          <w:color w:val="000000" w:themeColor="text1"/>
        </w:rPr>
        <w:t xml:space="preserve">, the  HLA-DR PerpCy5.5 (clone # L243) </w:t>
      </w:r>
      <w:r w:rsidR="009C781B" w:rsidRPr="005B7AE3">
        <w:rPr>
          <w:rFonts w:ascii="Times New Roman" w:eastAsia="Times New Roman" w:hAnsi="Times New Roman" w:cs="Times New Roman"/>
          <w:color w:val="000000" w:themeColor="text1"/>
        </w:rPr>
        <w:t xml:space="preserve">and anti-CD4-PAC blue (clone #OKT4) </w:t>
      </w:r>
      <w:r w:rsidR="000B010A" w:rsidRPr="005B7AE3">
        <w:rPr>
          <w:rFonts w:ascii="Times New Roman" w:eastAsia="Times New Roman" w:hAnsi="Times New Roman" w:cs="Times New Roman"/>
          <w:color w:val="000000" w:themeColor="text1"/>
        </w:rPr>
        <w:t xml:space="preserve">antibodies </w:t>
      </w:r>
      <w:r w:rsidR="00CB517E" w:rsidRPr="005B7AE3">
        <w:rPr>
          <w:rFonts w:ascii="Times New Roman" w:eastAsia="Times New Roman" w:hAnsi="Times New Roman" w:cs="Times New Roman"/>
          <w:color w:val="000000" w:themeColor="text1"/>
        </w:rPr>
        <w:t xml:space="preserve">from </w:t>
      </w:r>
      <w:proofErr w:type="spellStart"/>
      <w:r w:rsidR="00CB517E" w:rsidRPr="005B7AE3">
        <w:rPr>
          <w:rFonts w:ascii="Times New Roman" w:eastAsia="Times New Roman" w:hAnsi="Times New Roman" w:cs="Times New Roman"/>
          <w:color w:val="000000" w:themeColor="text1"/>
        </w:rPr>
        <w:t>Biolegend</w:t>
      </w:r>
      <w:proofErr w:type="spellEnd"/>
      <w:r w:rsidR="00CB517E" w:rsidRPr="005B7AE3">
        <w:rPr>
          <w:rFonts w:ascii="Times New Roman" w:eastAsia="Times New Roman" w:hAnsi="Times New Roman" w:cs="Times New Roman"/>
          <w:color w:val="000000" w:themeColor="text1"/>
        </w:rPr>
        <w:t xml:space="preserve">, </w:t>
      </w:r>
      <w:r w:rsidR="009C781B" w:rsidRPr="005B7AE3">
        <w:rPr>
          <w:rFonts w:ascii="Times New Roman" w:eastAsia="Times New Roman" w:hAnsi="Times New Roman" w:cs="Times New Roman"/>
          <w:color w:val="000000" w:themeColor="text1"/>
        </w:rPr>
        <w:t>the CD25-</w:t>
      </w:r>
      <w:r w:rsidR="00CB517E" w:rsidRPr="005B7AE3">
        <w:rPr>
          <w:rFonts w:ascii="Times New Roman" w:eastAsia="Times New Roman" w:hAnsi="Times New Roman" w:cs="Times New Roman"/>
          <w:color w:val="000000" w:themeColor="text1"/>
        </w:rPr>
        <w:t xml:space="preserve">PE </w:t>
      </w:r>
      <w:r w:rsidR="009C781B" w:rsidRPr="005B7AE3">
        <w:rPr>
          <w:rFonts w:ascii="Times New Roman" w:eastAsia="Times New Roman" w:hAnsi="Times New Roman" w:cs="Times New Roman"/>
          <w:color w:val="000000" w:themeColor="text1"/>
        </w:rPr>
        <w:t>(</w:t>
      </w:r>
      <w:r w:rsidR="00CB517E" w:rsidRPr="005B7AE3">
        <w:rPr>
          <w:rFonts w:ascii="Times New Roman" w:eastAsia="Times New Roman" w:hAnsi="Times New Roman" w:cs="Times New Roman"/>
          <w:color w:val="000000" w:themeColor="text1"/>
        </w:rPr>
        <w:t>clone # 2A3</w:t>
      </w:r>
      <w:r w:rsidR="009C781B" w:rsidRPr="005B7AE3">
        <w:rPr>
          <w:rFonts w:ascii="Times New Roman" w:eastAsia="Times New Roman" w:hAnsi="Times New Roman" w:cs="Times New Roman"/>
          <w:color w:val="000000" w:themeColor="text1"/>
        </w:rPr>
        <w:t xml:space="preserve">) </w:t>
      </w:r>
      <w:r w:rsidR="000B010A" w:rsidRPr="005B7AE3">
        <w:rPr>
          <w:rFonts w:ascii="Times New Roman" w:eastAsia="Times New Roman" w:hAnsi="Times New Roman" w:cs="Times New Roman"/>
          <w:color w:val="000000" w:themeColor="text1"/>
        </w:rPr>
        <w:t xml:space="preserve">antibody </w:t>
      </w:r>
      <w:r w:rsidR="009C781B" w:rsidRPr="005B7AE3">
        <w:rPr>
          <w:rFonts w:ascii="Times New Roman" w:eastAsia="Times New Roman" w:hAnsi="Times New Roman" w:cs="Times New Roman"/>
          <w:color w:val="000000" w:themeColor="text1"/>
        </w:rPr>
        <w:t>from BD Biosciences</w:t>
      </w:r>
      <w:r w:rsidR="00DE66EF" w:rsidRPr="005B7AE3">
        <w:rPr>
          <w:rFonts w:ascii="Times New Roman" w:eastAsia="Times New Roman" w:hAnsi="Times New Roman" w:cs="Times New Roman"/>
          <w:color w:val="000000" w:themeColor="text1"/>
        </w:rPr>
        <w:t xml:space="preserve"> (Franklin Lakes, NJ)</w:t>
      </w:r>
      <w:r w:rsidR="009C781B" w:rsidRPr="005B7AE3">
        <w:rPr>
          <w:rFonts w:ascii="Times New Roman" w:eastAsia="Times New Roman" w:hAnsi="Times New Roman" w:cs="Times New Roman"/>
          <w:color w:val="000000" w:themeColor="text1"/>
        </w:rPr>
        <w:t xml:space="preserve">, whilst the </w:t>
      </w:r>
      <w:r w:rsidR="00CB517E" w:rsidRPr="005B7AE3">
        <w:rPr>
          <w:rFonts w:ascii="Times New Roman" w:eastAsia="Times New Roman" w:hAnsi="Times New Roman" w:cs="Times New Roman"/>
          <w:color w:val="000000" w:themeColor="text1"/>
        </w:rPr>
        <w:t xml:space="preserve">Live/dead near IR </w:t>
      </w:r>
      <w:r w:rsidR="009C781B" w:rsidRPr="005B7AE3">
        <w:rPr>
          <w:rFonts w:ascii="Times New Roman" w:eastAsia="Times New Roman" w:hAnsi="Times New Roman" w:cs="Times New Roman"/>
          <w:color w:val="000000" w:themeColor="text1"/>
        </w:rPr>
        <w:t>(</w:t>
      </w:r>
      <w:r w:rsidR="00CB517E" w:rsidRPr="005B7AE3">
        <w:rPr>
          <w:rFonts w:ascii="Times New Roman" w:eastAsia="Times New Roman" w:hAnsi="Times New Roman" w:cs="Times New Roman"/>
          <w:color w:val="000000" w:themeColor="text1"/>
        </w:rPr>
        <w:t>#L10119</w:t>
      </w:r>
      <w:r w:rsidR="009C781B" w:rsidRPr="005B7AE3">
        <w:rPr>
          <w:rFonts w:ascii="Times New Roman" w:eastAsia="Times New Roman" w:hAnsi="Times New Roman" w:cs="Times New Roman"/>
          <w:color w:val="000000" w:themeColor="text1"/>
        </w:rPr>
        <w:t xml:space="preserve">) and the </w:t>
      </w:r>
      <w:r w:rsidR="00CB517E" w:rsidRPr="005B7AE3">
        <w:rPr>
          <w:rFonts w:ascii="Times New Roman" w:eastAsia="Times New Roman" w:hAnsi="Times New Roman" w:cs="Times New Roman"/>
          <w:color w:val="000000" w:themeColor="text1"/>
        </w:rPr>
        <w:t xml:space="preserve">Cell trace violet  </w:t>
      </w:r>
      <w:r w:rsidR="009C781B" w:rsidRPr="005B7AE3">
        <w:rPr>
          <w:rFonts w:ascii="Times New Roman" w:eastAsia="Times New Roman" w:hAnsi="Times New Roman" w:cs="Times New Roman"/>
          <w:color w:val="000000" w:themeColor="text1"/>
        </w:rPr>
        <w:t>(</w:t>
      </w:r>
      <w:r w:rsidR="00CB517E" w:rsidRPr="005B7AE3">
        <w:rPr>
          <w:rFonts w:ascii="Times New Roman" w:eastAsia="Times New Roman" w:hAnsi="Times New Roman" w:cs="Times New Roman"/>
          <w:color w:val="000000" w:themeColor="text1"/>
        </w:rPr>
        <w:t># C34557</w:t>
      </w:r>
      <w:r w:rsidR="009C781B" w:rsidRPr="005B7AE3">
        <w:rPr>
          <w:rFonts w:ascii="Times New Roman" w:eastAsia="Times New Roman" w:hAnsi="Times New Roman" w:cs="Times New Roman"/>
          <w:color w:val="000000" w:themeColor="text1"/>
        </w:rPr>
        <w:t xml:space="preserve">) </w:t>
      </w:r>
      <w:r w:rsidR="000B010A" w:rsidRPr="005B7AE3">
        <w:rPr>
          <w:rFonts w:ascii="Times New Roman" w:eastAsia="Times New Roman" w:hAnsi="Times New Roman" w:cs="Times New Roman"/>
          <w:color w:val="000000" w:themeColor="text1"/>
        </w:rPr>
        <w:t xml:space="preserve">staining reagents </w:t>
      </w:r>
      <w:r w:rsidR="009C781B" w:rsidRPr="005B7AE3">
        <w:rPr>
          <w:rFonts w:ascii="Times New Roman" w:eastAsia="Times New Roman" w:hAnsi="Times New Roman" w:cs="Times New Roman"/>
          <w:color w:val="000000" w:themeColor="text1"/>
        </w:rPr>
        <w:t>were both purchased from Invitrogen</w:t>
      </w:r>
      <w:r w:rsidR="00DE66EF" w:rsidRPr="005B7AE3">
        <w:rPr>
          <w:rFonts w:ascii="Times New Roman" w:eastAsia="Times New Roman" w:hAnsi="Times New Roman" w:cs="Times New Roman"/>
          <w:color w:val="000000" w:themeColor="text1"/>
        </w:rPr>
        <w:t xml:space="preserve"> (Waltham, MA)</w:t>
      </w:r>
      <w:r w:rsidR="009C781B" w:rsidRPr="005B7AE3">
        <w:rPr>
          <w:rFonts w:ascii="Times New Roman" w:eastAsia="Times New Roman" w:hAnsi="Times New Roman" w:cs="Times New Roman"/>
          <w:color w:val="000000" w:themeColor="text1"/>
        </w:rPr>
        <w:t xml:space="preserve">. </w:t>
      </w:r>
    </w:p>
    <w:p w14:paraId="12DCC584" w14:textId="1ED55E02" w:rsidR="00FC79C7" w:rsidRPr="005B7AE3" w:rsidRDefault="00FC79C7" w:rsidP="00A26B4D">
      <w:pPr>
        <w:jc w:val="both"/>
        <w:rPr>
          <w:rFonts w:ascii="Times New Roman" w:hAnsi="Times New Roman" w:cs="Times New Roman"/>
          <w:color w:val="000000" w:themeColor="text1"/>
        </w:rPr>
      </w:pPr>
    </w:p>
    <w:p w14:paraId="76689D83" w14:textId="77777777" w:rsidR="00AA705C" w:rsidRPr="005B7AE3" w:rsidRDefault="001E6543" w:rsidP="00AA705C">
      <w:pPr>
        <w:pStyle w:val="Default"/>
        <w:jc w:val="both"/>
        <w:rPr>
          <w:b/>
          <w:bCs/>
          <w:iCs/>
          <w:color w:val="000000" w:themeColor="text1"/>
        </w:rPr>
      </w:pPr>
      <w:r w:rsidRPr="005B7AE3">
        <w:rPr>
          <w:b/>
          <w:bCs/>
          <w:iCs/>
          <w:color w:val="000000" w:themeColor="text1"/>
        </w:rPr>
        <w:t>T cell isolation and activation</w:t>
      </w:r>
    </w:p>
    <w:p w14:paraId="5BEF04D9" w14:textId="5BFA6836" w:rsidR="00AA705C" w:rsidRPr="00AA705C" w:rsidRDefault="00167EDF" w:rsidP="00AA705C">
      <w:pPr>
        <w:pStyle w:val="Default"/>
        <w:jc w:val="both"/>
        <w:rPr>
          <w:bCs/>
          <w:iCs/>
          <w:color w:val="000000" w:themeColor="text1"/>
          <w:lang w:val="bg-BG"/>
        </w:rPr>
      </w:pPr>
      <w:r w:rsidRPr="005B7AE3">
        <w:rPr>
          <w:i/>
          <w:iCs/>
          <w:color w:val="000000" w:themeColor="text1"/>
        </w:rPr>
        <w:t>Human cells</w:t>
      </w:r>
      <w:r w:rsidRPr="005B7AE3">
        <w:rPr>
          <w:iCs/>
          <w:color w:val="000000" w:themeColor="text1"/>
        </w:rPr>
        <w:t xml:space="preserve">: </w:t>
      </w:r>
      <w:r w:rsidRPr="005B7AE3">
        <w:rPr>
          <w:color w:val="000000" w:themeColor="text1"/>
        </w:rPr>
        <w:t>CD4</w:t>
      </w:r>
      <w:r w:rsidRPr="005B7AE3">
        <w:rPr>
          <w:color w:val="000000" w:themeColor="text1"/>
          <w:vertAlign w:val="superscript"/>
        </w:rPr>
        <w:t>+</w:t>
      </w:r>
      <w:r w:rsidRPr="005B7AE3">
        <w:rPr>
          <w:color w:val="000000" w:themeColor="text1"/>
        </w:rPr>
        <w:t xml:space="preserve"> T cells were isolated from blood using the MACS Human CD4</w:t>
      </w:r>
      <w:r w:rsidRPr="005B7AE3">
        <w:rPr>
          <w:color w:val="000000" w:themeColor="text1"/>
          <w:vertAlign w:val="superscript"/>
        </w:rPr>
        <w:t>+</w:t>
      </w:r>
      <w:r w:rsidRPr="005B7AE3">
        <w:rPr>
          <w:color w:val="000000" w:themeColor="text1"/>
        </w:rPr>
        <w:t xml:space="preserve"> Positive T cell Isolation Kit </w:t>
      </w:r>
      <w:r w:rsidR="00AA705C" w:rsidRPr="005B7AE3">
        <w:rPr>
          <w:color w:val="000000" w:themeColor="text1"/>
        </w:rPr>
        <w:t>(</w:t>
      </w:r>
      <w:proofErr w:type="spellStart"/>
      <w:r w:rsidRPr="005B7AE3">
        <w:rPr>
          <w:color w:val="000000" w:themeColor="text1"/>
        </w:rPr>
        <w:t>Miltenyi</w:t>
      </w:r>
      <w:proofErr w:type="spellEnd"/>
      <w:r w:rsidRPr="005B7AE3">
        <w:rPr>
          <w:color w:val="000000" w:themeColor="text1"/>
        </w:rPr>
        <w:t xml:space="preserve">, Biotech </w:t>
      </w:r>
      <w:r w:rsidR="00AA705C" w:rsidRPr="005B7AE3">
        <w:rPr>
          <w:color w:val="000000" w:themeColor="text1"/>
        </w:rPr>
        <w:t>Ltd, Bisley, UK)</w:t>
      </w:r>
      <w:r w:rsidRPr="005B7AE3">
        <w:rPr>
          <w:color w:val="000000" w:themeColor="text1"/>
        </w:rPr>
        <w:t xml:space="preserve">. Purity of bead-isolated T lymphocyte </w:t>
      </w:r>
      <w:r w:rsidRPr="00AA705C">
        <w:t xml:space="preserve">fractions was typically &gt; 98%. </w:t>
      </w:r>
      <w:r w:rsidR="00FC79C7" w:rsidRPr="00AA705C">
        <w:t xml:space="preserve">T cells were activated for </w:t>
      </w:r>
      <w:r w:rsidR="005D6FB8" w:rsidRPr="00AA705C">
        <w:t>36</w:t>
      </w:r>
      <w:r w:rsidRPr="00AA705C">
        <w:t xml:space="preserve"> </w:t>
      </w:r>
      <w:r w:rsidR="005D6FB8" w:rsidRPr="00AA705C">
        <w:t xml:space="preserve">h </w:t>
      </w:r>
      <w:r w:rsidR="00FC79C7" w:rsidRPr="00AA705C">
        <w:t xml:space="preserve">in 48-well (Greiner, Monroe, NC, reference 677180) culture plates </w:t>
      </w:r>
      <w:r w:rsidRPr="00AA705C">
        <w:t>at</w:t>
      </w:r>
      <w:r w:rsidR="00FC79C7" w:rsidRPr="00AA705C">
        <w:t xml:space="preserve"> 2.5 – 3.0 x 10</w:t>
      </w:r>
      <w:r w:rsidR="00FC79C7" w:rsidRPr="00AA705C">
        <w:rPr>
          <w:vertAlign w:val="superscript"/>
        </w:rPr>
        <w:t>5</w:t>
      </w:r>
      <w:r w:rsidR="00FC79C7" w:rsidRPr="00AA705C">
        <w:t xml:space="preserve"> cells/well concentration</w:t>
      </w:r>
      <w:r w:rsidR="00AA705C">
        <w:t xml:space="preserve"> </w:t>
      </w:r>
      <w:r w:rsidR="00AA705C" w:rsidRPr="00AA705C">
        <w:t>in presence of 25 U/ml rhIL-2</w:t>
      </w:r>
      <w:r w:rsidR="00AA705C">
        <w:t xml:space="preserve"> in wells that had been coated </w:t>
      </w:r>
      <w:r w:rsidR="00FC79C7" w:rsidRPr="00AA705C">
        <w:t xml:space="preserve">with </w:t>
      </w:r>
      <w:proofErr w:type="spellStart"/>
      <w:r w:rsidR="00FC79C7" w:rsidRPr="00AA705C">
        <w:t>mAbs</w:t>
      </w:r>
      <w:proofErr w:type="spellEnd"/>
      <w:r w:rsidR="00FC79C7" w:rsidRPr="00AA705C">
        <w:t xml:space="preserve"> to CD3, </w:t>
      </w:r>
      <w:r w:rsidR="00AA705C">
        <w:t>CD3+</w:t>
      </w:r>
      <w:r w:rsidR="00FC79C7" w:rsidRPr="00AA705C">
        <w:t xml:space="preserve">CD28 or </w:t>
      </w:r>
      <w:r w:rsidR="00AA705C">
        <w:t>CD3+</w:t>
      </w:r>
      <w:r w:rsidR="00FC79C7" w:rsidRPr="00AA705C">
        <w:t xml:space="preserve">CD46 (2.0 </w:t>
      </w:r>
      <w:proofErr w:type="spellStart"/>
      <w:r w:rsidR="00FC79C7" w:rsidRPr="00AA705C">
        <w:t>μg</w:t>
      </w:r>
      <w:proofErr w:type="spellEnd"/>
      <w:r w:rsidR="00FC79C7" w:rsidRPr="00AA705C">
        <w:t>/ml each). Cell viability was monitored</w:t>
      </w:r>
      <w:r w:rsidR="00AA705C">
        <w:t xml:space="preserve"> using the</w:t>
      </w:r>
      <w:r w:rsidR="00FC79C7" w:rsidRPr="00AA705C">
        <w:t xml:space="preserve"> </w:t>
      </w:r>
      <w:hyperlink r:id="rId8" w:history="1">
        <w:r w:rsidR="00AA705C" w:rsidRPr="00AA705C">
          <w:rPr>
            <w:rStyle w:val="Hyperlink"/>
            <w:color w:val="000000" w:themeColor="text1"/>
            <w:u w:val="none"/>
          </w:rPr>
          <w:t xml:space="preserve">Promega™ </w:t>
        </w:r>
        <w:proofErr w:type="spellStart"/>
        <w:r w:rsidR="00AA705C" w:rsidRPr="00AA705C">
          <w:rPr>
            <w:rStyle w:val="Hyperlink"/>
            <w:color w:val="000000" w:themeColor="text1"/>
            <w:u w:val="none"/>
          </w:rPr>
          <w:t>CellTiter-Glo</w:t>
        </w:r>
        <w:proofErr w:type="spellEnd"/>
        <w:r w:rsidR="00AA705C" w:rsidRPr="00AA705C">
          <w:rPr>
            <w:rStyle w:val="Hyperlink"/>
            <w:color w:val="000000" w:themeColor="text1"/>
            <w:u w:val="none"/>
          </w:rPr>
          <w:t>™ Luminescent Cell Viability Assay Kit</w:t>
        </w:r>
      </w:hyperlink>
      <w:r w:rsidR="00AA705C">
        <w:rPr>
          <w:color w:val="000000" w:themeColor="text1"/>
        </w:rPr>
        <w:t xml:space="preserve"> </w:t>
      </w:r>
      <w:r w:rsidR="00D05513">
        <w:rPr>
          <w:color w:val="000000" w:themeColor="text1"/>
        </w:rPr>
        <w:t xml:space="preserve">(Promega, Madison, WI) </w:t>
      </w:r>
      <w:r w:rsidR="00AA705C">
        <w:rPr>
          <w:color w:val="000000" w:themeColor="text1"/>
        </w:rPr>
        <w:t xml:space="preserve">according to the manufacturer’s protocol. </w:t>
      </w:r>
    </w:p>
    <w:p w14:paraId="4A8DAA77" w14:textId="5799D7D3" w:rsidR="004F51DA" w:rsidRPr="005B7AE3" w:rsidRDefault="00D05513" w:rsidP="004F51DA">
      <w:pPr>
        <w:autoSpaceDE w:val="0"/>
        <w:autoSpaceDN w:val="0"/>
        <w:adjustRightInd w:val="0"/>
        <w:jc w:val="both"/>
        <w:rPr>
          <w:color w:val="000000" w:themeColor="text1"/>
        </w:rPr>
      </w:pPr>
      <w:r w:rsidRPr="00D05513">
        <w:rPr>
          <w:rFonts w:ascii="Times New Roman" w:hAnsi="Times New Roman" w:cs="Times New Roman"/>
          <w:i/>
        </w:rPr>
        <w:t>Mouse cells</w:t>
      </w:r>
      <w:r w:rsidRPr="00D05513">
        <w:rPr>
          <w:rFonts w:ascii="Times New Roman" w:hAnsi="Times New Roman" w:cs="Times New Roman"/>
        </w:rPr>
        <w:t>: Single cell suspensions of spleen cells were generated and red blood cells lysed using ACK lysis buffer (Life Technologies</w:t>
      </w:r>
      <w:r>
        <w:rPr>
          <w:rFonts w:ascii="Times New Roman" w:hAnsi="Times New Roman" w:cs="Times New Roman"/>
        </w:rPr>
        <w:t>, Carlsbad, CA</w:t>
      </w:r>
      <w:r w:rsidRPr="00D05513">
        <w:rPr>
          <w:rFonts w:ascii="Times New Roman" w:hAnsi="Times New Roman" w:cs="Times New Roman"/>
        </w:rPr>
        <w:t>). CD4</w:t>
      </w:r>
      <w:r w:rsidRPr="00D05513">
        <w:rPr>
          <w:rFonts w:ascii="Times New Roman" w:hAnsi="Times New Roman" w:cs="Times New Roman"/>
          <w:vertAlign w:val="superscript"/>
        </w:rPr>
        <w:t>+</w:t>
      </w:r>
      <w:r w:rsidRPr="00D05513">
        <w:rPr>
          <w:rFonts w:ascii="Times New Roman" w:hAnsi="Times New Roman" w:cs="Times New Roman"/>
        </w:rPr>
        <w:t xml:space="preserve"> T cells were isolated by negative selection using the Stem Cell Technologies </w:t>
      </w:r>
      <w:proofErr w:type="spellStart"/>
      <w:r w:rsidRPr="00D05513">
        <w:rPr>
          <w:rFonts w:ascii="Times New Roman" w:hAnsi="Times New Roman" w:cs="Times New Roman"/>
        </w:rPr>
        <w:t>EasySep</w:t>
      </w:r>
      <w:r w:rsidRPr="00D05513">
        <w:rPr>
          <w:rFonts w:ascii="Times New Roman" w:hAnsi="Times New Roman" w:cs="Times New Roman"/>
          <w:vertAlign w:val="superscript"/>
        </w:rPr>
        <w:t>TM</w:t>
      </w:r>
      <w:proofErr w:type="spellEnd"/>
      <w:r w:rsidRPr="00D05513">
        <w:rPr>
          <w:rFonts w:ascii="Times New Roman" w:hAnsi="Times New Roman" w:cs="Times New Roman"/>
        </w:rPr>
        <w:t xml:space="preserve"> Mouse CD4</w:t>
      </w:r>
      <w:r w:rsidRPr="00D05513">
        <w:rPr>
          <w:rFonts w:ascii="Times New Roman" w:hAnsi="Times New Roman" w:cs="Times New Roman"/>
          <w:vertAlign w:val="superscript"/>
        </w:rPr>
        <w:t>+</w:t>
      </w:r>
      <w:r w:rsidRPr="00D05513">
        <w:rPr>
          <w:rFonts w:ascii="Times New Roman" w:hAnsi="Times New Roman" w:cs="Times New Roman"/>
        </w:rPr>
        <w:t xml:space="preserve"> T Cell Isolation Kit (Tukwila, WA). </w:t>
      </w:r>
      <w:r>
        <w:rPr>
          <w:rFonts w:ascii="Times New Roman" w:hAnsi="Times New Roman" w:cs="Times New Roman"/>
        </w:rPr>
        <w:t>To</w:t>
      </w:r>
      <w:r w:rsidRPr="00D05513">
        <w:rPr>
          <w:rFonts w:ascii="Times New Roman" w:hAnsi="Times New Roman" w:cs="Times New Roman"/>
        </w:rPr>
        <w:t xml:space="preserve"> separate naïve versus memory CD4</w:t>
      </w:r>
      <w:r w:rsidRPr="00D05513">
        <w:rPr>
          <w:rFonts w:ascii="Times New Roman" w:hAnsi="Times New Roman" w:cs="Times New Roman"/>
          <w:vertAlign w:val="superscript"/>
        </w:rPr>
        <w:t>+</w:t>
      </w:r>
      <w:r w:rsidRPr="00D05513">
        <w:rPr>
          <w:rFonts w:ascii="Times New Roman" w:hAnsi="Times New Roman" w:cs="Times New Roman"/>
        </w:rPr>
        <w:t xml:space="preserve"> T cells </w:t>
      </w:r>
      <w:proofErr w:type="spellStart"/>
      <w:r w:rsidRPr="00D05513">
        <w:rPr>
          <w:rFonts w:ascii="Times New Roman" w:hAnsi="Times New Roman" w:cs="Times New Roman"/>
        </w:rPr>
        <w:t>cells</w:t>
      </w:r>
      <w:proofErr w:type="spellEnd"/>
      <w:r w:rsidRPr="00D05513">
        <w:rPr>
          <w:rFonts w:ascii="Times New Roman" w:hAnsi="Times New Roman" w:cs="Times New Roman"/>
        </w:rPr>
        <w:t>, T cells were sort-separated based on CD4</w:t>
      </w:r>
      <w:r w:rsidRPr="00D05513">
        <w:rPr>
          <w:rFonts w:ascii="Times New Roman" w:hAnsi="Times New Roman" w:cs="Times New Roman"/>
          <w:vertAlign w:val="superscript"/>
        </w:rPr>
        <w:t>+</w:t>
      </w:r>
      <w:r w:rsidRPr="00D05513">
        <w:rPr>
          <w:rFonts w:ascii="Times New Roman" w:hAnsi="Times New Roman" w:cs="Times New Roman"/>
        </w:rPr>
        <w:t xml:space="preserve"> CD44</w:t>
      </w:r>
      <w:r w:rsidRPr="00D05513">
        <w:rPr>
          <w:rFonts w:ascii="Times New Roman" w:hAnsi="Times New Roman" w:cs="Times New Roman"/>
          <w:vertAlign w:val="superscript"/>
        </w:rPr>
        <w:t>+</w:t>
      </w:r>
      <w:r w:rsidRPr="00D05513">
        <w:rPr>
          <w:rFonts w:ascii="Times New Roman" w:hAnsi="Times New Roman" w:cs="Times New Roman"/>
        </w:rPr>
        <w:t xml:space="preserve"> (memory) and CD4</w:t>
      </w:r>
      <w:r w:rsidRPr="00D05513">
        <w:rPr>
          <w:rFonts w:ascii="Times New Roman" w:hAnsi="Times New Roman" w:cs="Times New Roman"/>
          <w:vertAlign w:val="superscript"/>
        </w:rPr>
        <w:t xml:space="preserve">+ </w:t>
      </w:r>
      <w:r w:rsidRPr="00D05513">
        <w:rPr>
          <w:rFonts w:ascii="Times New Roman" w:hAnsi="Times New Roman" w:cs="Times New Roman"/>
        </w:rPr>
        <w:t>CD44</w:t>
      </w:r>
      <w:r w:rsidRPr="00D05513">
        <w:rPr>
          <w:rFonts w:ascii="Times New Roman" w:hAnsi="Times New Roman" w:cs="Times New Roman"/>
          <w:vertAlign w:val="superscript"/>
        </w:rPr>
        <w:t>-</w:t>
      </w:r>
      <w:r w:rsidRPr="00D05513">
        <w:rPr>
          <w:rFonts w:ascii="Times New Roman" w:hAnsi="Times New Roman" w:cs="Times New Roman"/>
        </w:rPr>
        <w:t xml:space="preserve"> (naïve) </w:t>
      </w:r>
      <w:proofErr w:type="spellStart"/>
      <w:r w:rsidRPr="00D05513">
        <w:rPr>
          <w:rFonts w:ascii="Times New Roman" w:hAnsi="Times New Roman" w:cs="Times New Roman"/>
        </w:rPr>
        <w:t>stainings</w:t>
      </w:r>
      <w:proofErr w:type="spellEnd"/>
      <w:r w:rsidRPr="00D05513">
        <w:rPr>
          <w:rFonts w:ascii="Times New Roman" w:hAnsi="Times New Roman" w:cs="Times New Roman"/>
        </w:rPr>
        <w:t xml:space="preserve">. For </w:t>
      </w:r>
      <w:r w:rsidRPr="00D05513">
        <w:rPr>
          <w:rFonts w:ascii="Times New Roman" w:hAnsi="Times New Roman" w:cs="Times New Roman"/>
          <w:i/>
        </w:rPr>
        <w:t>in vitro</w:t>
      </w:r>
      <w:r>
        <w:rPr>
          <w:rFonts w:ascii="Times New Roman" w:hAnsi="Times New Roman" w:cs="Times New Roman"/>
        </w:rPr>
        <w:t xml:space="preserve"> T cell activation, 48-</w:t>
      </w:r>
      <w:r w:rsidRPr="00D05513">
        <w:rPr>
          <w:rFonts w:ascii="Times New Roman" w:hAnsi="Times New Roman" w:cs="Times New Roman"/>
        </w:rPr>
        <w:t xml:space="preserve">well plates were coated with 2 </w:t>
      </w:r>
      <w:proofErr w:type="spellStart"/>
      <w:r w:rsidRPr="00D05513">
        <w:rPr>
          <w:rFonts w:ascii="Times New Roman" w:hAnsi="Times New Roman" w:cs="Times New Roman"/>
        </w:rPr>
        <w:t>ug</w:t>
      </w:r>
      <w:proofErr w:type="spellEnd"/>
      <w:r w:rsidRPr="00D05513">
        <w:rPr>
          <w:rFonts w:ascii="Times New Roman" w:hAnsi="Times New Roman" w:cs="Times New Roman"/>
        </w:rPr>
        <w:t>/ml anti-CD3 overnight at 4°C and CD4</w:t>
      </w:r>
      <w:r w:rsidRPr="00D05513">
        <w:rPr>
          <w:rFonts w:ascii="Times New Roman" w:hAnsi="Times New Roman" w:cs="Times New Roman"/>
          <w:vertAlign w:val="superscript"/>
        </w:rPr>
        <w:t>+</w:t>
      </w:r>
      <w:r w:rsidRPr="00D05513">
        <w:rPr>
          <w:rFonts w:ascii="Times New Roman" w:hAnsi="Times New Roman" w:cs="Times New Roman"/>
        </w:rPr>
        <w:t xml:space="preserve"> T cells (0.5 – 1.0 x 10</w:t>
      </w:r>
      <w:r w:rsidRPr="00D05513">
        <w:rPr>
          <w:rFonts w:ascii="Times New Roman" w:hAnsi="Times New Roman" w:cs="Times New Roman"/>
          <w:vertAlign w:val="superscript"/>
        </w:rPr>
        <w:t>6</w:t>
      </w:r>
      <w:r w:rsidRPr="00D05513">
        <w:rPr>
          <w:rFonts w:ascii="Times New Roman" w:hAnsi="Times New Roman" w:cs="Times New Roman"/>
        </w:rPr>
        <w:t xml:space="preserve"> per well of 48-well plates) were added to the appropriate wells. One </w:t>
      </w:r>
      <w:proofErr w:type="spellStart"/>
      <w:r w:rsidRPr="00D05513">
        <w:rPr>
          <w:rFonts w:ascii="Times New Roman" w:hAnsi="Times New Roman" w:cs="Times New Roman"/>
        </w:rPr>
        <w:t>ug</w:t>
      </w:r>
      <w:proofErr w:type="spellEnd"/>
      <w:r w:rsidRPr="00D05513">
        <w:rPr>
          <w:rFonts w:ascii="Times New Roman" w:hAnsi="Times New Roman" w:cs="Times New Roman"/>
        </w:rPr>
        <w:t>/ml of anti-CD28 was added to the m</w:t>
      </w:r>
      <w:r>
        <w:rPr>
          <w:rFonts w:ascii="Times New Roman" w:hAnsi="Times New Roman" w:cs="Times New Roman"/>
        </w:rPr>
        <w:t>edia to provide co-stimulation</w:t>
      </w:r>
      <w:r w:rsidR="00D0531C">
        <w:rPr>
          <w:rFonts w:ascii="Times New Roman" w:hAnsi="Times New Roman" w:cs="Times New Roman"/>
        </w:rPr>
        <w:t xml:space="preserve">. For Th1, Th2 and Th17 induction, </w:t>
      </w:r>
      <w:r w:rsidR="00D0531C" w:rsidRPr="000656FC">
        <w:rPr>
          <w:rFonts w:ascii="Times New Roman" w:hAnsi="Times New Roman" w:cs="Times New Roman"/>
          <w:color w:val="000000" w:themeColor="text1"/>
        </w:rPr>
        <w:t xml:space="preserve">20 ng/ml rIL-12, and 50 ng/ml anti-IL-4 (Th1), 40 ng/ml IL-4 and 50 ng/ml anti-IFN-γ (Th2) or 50 ng/ml anti-IL-4, 50 ng/ml anti-IFN-γ, 40 ng/ml TFG-β and 20 ng/ml IL-1β (Th17) were added. Cells were activated for 3 days and then media was replaced with fresh media only containing neutralizing antibodies for respective skewing conditions. Supernatants were taken at day 5 and 50 ng/ml PMA, 1μg/ml </w:t>
      </w:r>
      <w:r w:rsidR="00D0531C" w:rsidRPr="005B7AE3">
        <w:rPr>
          <w:rFonts w:ascii="Times New Roman" w:hAnsi="Times New Roman" w:cs="Times New Roman"/>
          <w:color w:val="000000" w:themeColor="text1"/>
        </w:rPr>
        <w:lastRenderedPageBreak/>
        <w:t xml:space="preserve">Ionomycin and 1x </w:t>
      </w:r>
      <w:proofErr w:type="spellStart"/>
      <w:r w:rsidR="00D0531C" w:rsidRPr="005B7AE3">
        <w:rPr>
          <w:rFonts w:ascii="Times New Roman" w:hAnsi="Times New Roman" w:cs="Times New Roman"/>
          <w:color w:val="000000" w:themeColor="text1"/>
        </w:rPr>
        <w:t>GolgiStop</w:t>
      </w:r>
      <w:proofErr w:type="spellEnd"/>
      <w:r w:rsidR="00D0531C" w:rsidRPr="005B7AE3">
        <w:rPr>
          <w:rFonts w:ascii="Times New Roman" w:hAnsi="Times New Roman" w:cs="Times New Roman"/>
          <w:color w:val="000000" w:themeColor="text1"/>
        </w:rPr>
        <w:t xml:space="preserve"> (BD) were added for 4 hours prior to staining and FACS analysis of intracellular IFN-γ, IL-4 and IL-17 expression.</w:t>
      </w:r>
    </w:p>
    <w:p w14:paraId="3DC9555C" w14:textId="77777777" w:rsidR="00DE66EF" w:rsidRPr="005B7AE3" w:rsidRDefault="00DE66EF" w:rsidP="00D0531C">
      <w:pPr>
        <w:autoSpaceDE w:val="0"/>
        <w:autoSpaceDN w:val="0"/>
        <w:adjustRightInd w:val="0"/>
        <w:jc w:val="both"/>
        <w:rPr>
          <w:rFonts w:ascii="Times New Roman" w:eastAsia="MS Mincho" w:hAnsi="Times New Roman" w:cs="Times New Roman"/>
          <w:color w:val="000000" w:themeColor="text1"/>
        </w:rPr>
      </w:pPr>
    </w:p>
    <w:p w14:paraId="7C83FDFB" w14:textId="79A74528" w:rsidR="00294172" w:rsidRPr="005B7AE3" w:rsidRDefault="00294172" w:rsidP="004F51DA">
      <w:pPr>
        <w:autoSpaceDE w:val="0"/>
        <w:autoSpaceDN w:val="0"/>
        <w:adjustRightInd w:val="0"/>
        <w:jc w:val="both"/>
        <w:rPr>
          <w:color w:val="000000" w:themeColor="text1"/>
        </w:rPr>
      </w:pPr>
      <w:r w:rsidRPr="005B7AE3">
        <w:rPr>
          <w:rFonts w:ascii="Times New Roman" w:hAnsi="Times New Roman" w:cs="Times New Roman"/>
          <w:b/>
          <w:color w:val="000000" w:themeColor="text1"/>
        </w:rPr>
        <w:t>Cell proliferation assay</w:t>
      </w:r>
    </w:p>
    <w:p w14:paraId="3B7A4ABF" w14:textId="43C848FE" w:rsidR="00294172" w:rsidRPr="005B7AE3" w:rsidRDefault="00294172" w:rsidP="004F51DA">
      <w:pPr>
        <w:jc w:val="both"/>
        <w:rPr>
          <w:rFonts w:ascii="Times New Roman" w:eastAsia="Times New Roman" w:hAnsi="Times New Roman" w:cs="Times New Roman"/>
          <w:color w:val="000000" w:themeColor="text1"/>
        </w:rPr>
      </w:pPr>
      <w:r w:rsidRPr="005B7AE3">
        <w:rPr>
          <w:rFonts w:ascii="Times New Roman" w:eastAsia="Times New Roman" w:hAnsi="Times New Roman" w:cs="Times New Roman"/>
          <w:color w:val="000000" w:themeColor="text1"/>
        </w:rPr>
        <w:t>Purified CD4</w:t>
      </w:r>
      <w:r w:rsidRPr="005B7AE3">
        <w:rPr>
          <w:rFonts w:ascii="Times New Roman" w:eastAsia="Times New Roman" w:hAnsi="Times New Roman" w:cs="Times New Roman"/>
          <w:color w:val="000000" w:themeColor="text1"/>
          <w:vertAlign w:val="superscript"/>
        </w:rPr>
        <w:t>+</w:t>
      </w:r>
      <w:r w:rsidRPr="005B7AE3">
        <w:rPr>
          <w:rFonts w:ascii="Times New Roman" w:eastAsia="Times New Roman" w:hAnsi="Times New Roman" w:cs="Times New Roman"/>
          <w:color w:val="000000" w:themeColor="text1"/>
        </w:rPr>
        <w:t xml:space="preserve"> T cells were labeled with 2 </w:t>
      </w:r>
      <w:proofErr w:type="spellStart"/>
      <w:r w:rsidRPr="005B7AE3">
        <w:rPr>
          <w:rFonts w:ascii="Times New Roman" w:eastAsia="Times New Roman" w:hAnsi="Times New Roman" w:cs="Times New Roman"/>
          <w:color w:val="000000" w:themeColor="text1"/>
        </w:rPr>
        <w:t>uM</w:t>
      </w:r>
      <w:proofErr w:type="spellEnd"/>
      <w:r w:rsidRPr="005B7AE3">
        <w:rPr>
          <w:rFonts w:ascii="Times New Roman" w:eastAsia="Times New Roman" w:hAnsi="Times New Roman" w:cs="Times New Roman"/>
          <w:color w:val="000000" w:themeColor="text1"/>
        </w:rPr>
        <w:t xml:space="preserve"> of Cell trace violet and then cultured </w:t>
      </w:r>
      <w:r w:rsidRPr="005B7AE3">
        <w:rPr>
          <w:rFonts w:ascii="Times New Roman" w:eastAsia="Times New Roman" w:hAnsi="Times New Roman" w:cs="Times New Roman"/>
          <w:i/>
          <w:color w:val="000000" w:themeColor="text1"/>
        </w:rPr>
        <w:t>in vitro</w:t>
      </w:r>
      <w:r w:rsidRPr="005B7AE3">
        <w:rPr>
          <w:rFonts w:ascii="Times New Roman" w:eastAsia="Times New Roman" w:hAnsi="Times New Roman" w:cs="Times New Roman"/>
          <w:color w:val="000000" w:themeColor="text1"/>
        </w:rPr>
        <w:t xml:space="preserve"> either alone or with CD3 + CD46 stimulation for 6 days. On Day 6, cells were stained for CD4 and viability (live/dead near IR stain) and dilution of Cell trace violet on live cells was measured using a BD FACS CANTO II.</w:t>
      </w:r>
      <w:r w:rsidR="007C530C" w:rsidRPr="005B7AE3">
        <w:rPr>
          <w:rFonts w:ascii="Times New Roman" w:eastAsia="Times New Roman" w:hAnsi="Times New Roman" w:cs="Times New Roman"/>
          <w:color w:val="000000" w:themeColor="text1"/>
        </w:rPr>
        <w:t xml:space="preserve"> </w:t>
      </w:r>
    </w:p>
    <w:p w14:paraId="3CB69753" w14:textId="77777777" w:rsidR="00294172" w:rsidRPr="005B7AE3" w:rsidRDefault="00294172" w:rsidP="005D6FB8">
      <w:pPr>
        <w:pStyle w:val="Heading3"/>
        <w:spacing w:before="0" w:beforeAutospacing="0" w:after="0" w:afterAutospacing="0"/>
        <w:jc w:val="both"/>
        <w:rPr>
          <w:color w:val="000000" w:themeColor="text1"/>
          <w:sz w:val="24"/>
          <w:szCs w:val="24"/>
        </w:rPr>
      </w:pPr>
    </w:p>
    <w:p w14:paraId="30E68991" w14:textId="2114F98F" w:rsidR="005D6FB8" w:rsidRPr="005B7AE3" w:rsidRDefault="005D6FB8" w:rsidP="005D6FB8">
      <w:pPr>
        <w:pStyle w:val="Heading3"/>
        <w:spacing w:before="0" w:beforeAutospacing="0" w:after="0" w:afterAutospacing="0"/>
        <w:jc w:val="both"/>
        <w:rPr>
          <w:color w:val="000000" w:themeColor="text1"/>
          <w:sz w:val="24"/>
          <w:szCs w:val="24"/>
        </w:rPr>
      </w:pPr>
      <w:r w:rsidRPr="005B7AE3">
        <w:rPr>
          <w:color w:val="000000" w:themeColor="text1"/>
          <w:sz w:val="24"/>
          <w:szCs w:val="24"/>
        </w:rPr>
        <w:t>Confocal microscopy</w:t>
      </w:r>
    </w:p>
    <w:p w14:paraId="0F9265DD" w14:textId="43F99477" w:rsidR="00D05513" w:rsidRPr="005B7AE3" w:rsidRDefault="005D6FB8" w:rsidP="007A311E">
      <w:pPr>
        <w:pStyle w:val="Heading3"/>
        <w:spacing w:before="0" w:beforeAutospacing="0" w:after="0" w:afterAutospacing="0"/>
        <w:jc w:val="both"/>
        <w:rPr>
          <w:rStyle w:val="normaltextrun"/>
          <w:b w:val="0"/>
          <w:iCs/>
          <w:color w:val="000000" w:themeColor="text1"/>
          <w:sz w:val="24"/>
          <w:szCs w:val="24"/>
        </w:rPr>
      </w:pPr>
      <w:r w:rsidRPr="005B7AE3">
        <w:rPr>
          <w:b w:val="0"/>
          <w:color w:val="000000" w:themeColor="text1"/>
          <w:sz w:val="24"/>
          <w:szCs w:val="24"/>
        </w:rPr>
        <w:t xml:space="preserve">Confocal microscopy staining and imaging was done as previously described using </w:t>
      </w:r>
      <w:r w:rsidRPr="005B7AE3">
        <w:rPr>
          <w:b w:val="0"/>
          <w:color w:val="000000" w:themeColor="text1"/>
          <w:sz w:val="24"/>
          <w:szCs w:val="24"/>
        </w:rPr>
        <w:fldChar w:fldCharType="begin"/>
      </w:r>
      <w:r w:rsidR="00B33F32" w:rsidRPr="005B7AE3">
        <w:rPr>
          <w:b w:val="0"/>
          <w:color w:val="000000" w:themeColor="text1"/>
          <w:sz w:val="24"/>
          <w:szCs w:val="24"/>
        </w:rPr>
        <w:instrText xml:space="preserve"> ADDIN EN.CITE &lt;EndNote&gt;&lt;Cite&gt;&lt;Author&gt;Liszewski&lt;/Author&gt;&lt;Year&gt;2013&lt;/Year&gt;&lt;IDText&gt;Intracellular complement activation sustains T cell homeostasis and mediates effector differentiation&lt;/IDText&gt;&lt;DisplayText&gt;(Liszewski et al., 2013)&lt;/DisplayText&gt;&lt;record&gt;&lt;dates&gt;&lt;pub-dates&gt;&lt;date&gt;Dec&lt;/date&gt;&lt;/pub-dates&gt;&lt;year&gt;2013&lt;/year&gt;&lt;/dates&gt;&lt;urls&gt;&lt;related-urls&gt;&lt;url&gt;http://www.ncbi.nlm.nih.gov/pubmed/24315997&lt;/url&gt;&lt;/related-urls&gt;&lt;/urls&gt;&lt;isbn&gt;1097-4180&lt;/isbn&gt;&lt;custom2&gt;PMC3865363&lt;/custom2&gt;&lt;titles&gt;&lt;title&gt;Intracellular complement activation sustains T cell homeostasis and mediates effector differentiation&lt;/title&gt;&lt;secondary-title&gt;Immunity&lt;/secondary-title&gt;&lt;/titles&gt;&lt;pages&gt;1143-57&lt;/pages&gt;&lt;number&gt;6&lt;/number&gt;&lt;contributors&gt;&lt;authors&gt;&lt;author&gt;Liszewski, M. K.&lt;/author&gt;&lt;author&gt;Kolev, M.&lt;/author&gt;&lt;author&gt;Le Friec, G.&lt;/author&gt;&lt;author&gt;Leung, M.&lt;/author&gt;&lt;author&gt;Bertram, P. G.&lt;/author&gt;&lt;author&gt;Fara, A. F.&lt;/author&gt;&lt;author&gt;Subias, M.&lt;/author&gt;&lt;author&gt;Pickering, M. C.&lt;/author&gt;&lt;author&gt;Drouet, C.&lt;/author&gt;&lt;author&gt;Meri, S.&lt;/author&gt;&lt;author&gt;Arstila, T. P.&lt;/author&gt;&lt;author&gt;Pekkarinen, P. T.&lt;/author&gt;&lt;author&gt;Ma, M.&lt;/author&gt;&lt;author&gt;Cope, A.&lt;/author&gt;&lt;author&gt;Reinheckel, T.&lt;/author&gt;&lt;author&gt;Rodriguez de Cordoba, S.&lt;/author&gt;&lt;author&gt;Afzali, B.&lt;/author&gt;&lt;author&gt;Atkinson, J. P.&lt;/author&gt;&lt;author&gt;Kemper, C.&lt;/author&gt;&lt;/authors&gt;&lt;/contributors&gt;&lt;language&gt;eng&lt;/language&gt;&lt;added-date format="utc"&gt;1392641842&lt;/added-date&gt;&lt;ref-type name="Journal Article"&gt;17&lt;/ref-type&gt;&lt;rec-number&gt;964&lt;/rec-number&gt;&lt;last-updated-date format="utc"&gt;1392641842&lt;/last-updated-date&gt;&lt;accession-num&gt;24315997&lt;/accession-num&gt;&lt;electronic-resource-num&gt;10.1016/j.immuni.2013.10.018&lt;/electronic-resource-num&gt;&lt;volume&gt;39&lt;/volume&gt;&lt;/record&gt;&lt;/Cite&gt;&lt;/EndNote&gt;</w:instrText>
      </w:r>
      <w:r w:rsidRPr="005B7AE3">
        <w:rPr>
          <w:b w:val="0"/>
          <w:color w:val="000000" w:themeColor="text1"/>
          <w:sz w:val="24"/>
          <w:szCs w:val="24"/>
        </w:rPr>
        <w:fldChar w:fldCharType="separate"/>
      </w:r>
      <w:r w:rsidR="00B33F32" w:rsidRPr="005B7AE3">
        <w:rPr>
          <w:b w:val="0"/>
          <w:noProof/>
          <w:color w:val="000000" w:themeColor="text1"/>
          <w:sz w:val="24"/>
          <w:szCs w:val="24"/>
        </w:rPr>
        <w:t>(Liszewski et al., 2013)</w:t>
      </w:r>
      <w:r w:rsidRPr="005B7AE3">
        <w:rPr>
          <w:b w:val="0"/>
          <w:color w:val="000000" w:themeColor="text1"/>
          <w:sz w:val="24"/>
          <w:szCs w:val="24"/>
        </w:rPr>
        <w:fldChar w:fldCharType="end"/>
      </w:r>
      <w:r w:rsidR="00A4711E" w:rsidRPr="005B7AE3">
        <w:rPr>
          <w:b w:val="0"/>
          <w:color w:val="000000" w:themeColor="text1"/>
          <w:sz w:val="24"/>
          <w:szCs w:val="24"/>
        </w:rPr>
        <w:t>.</w:t>
      </w:r>
      <w:r w:rsidR="007A311E" w:rsidRPr="005B7AE3">
        <w:rPr>
          <w:b w:val="0"/>
          <w:color w:val="000000" w:themeColor="text1"/>
          <w:sz w:val="24"/>
          <w:szCs w:val="24"/>
        </w:rPr>
        <w:t xml:space="preserve"> </w:t>
      </w:r>
      <w:r w:rsidR="00477792" w:rsidRPr="005B7AE3">
        <w:rPr>
          <w:b w:val="0"/>
          <w:color w:val="000000" w:themeColor="text1"/>
          <w:sz w:val="24"/>
          <w:szCs w:val="24"/>
        </w:rPr>
        <w:t xml:space="preserve">Briefly, </w:t>
      </w:r>
      <w:r w:rsidR="0002685C" w:rsidRPr="005B7AE3">
        <w:rPr>
          <w:b w:val="0"/>
          <w:color w:val="000000" w:themeColor="text1"/>
          <w:sz w:val="24"/>
          <w:szCs w:val="24"/>
        </w:rPr>
        <w:t>c</w:t>
      </w:r>
      <w:r w:rsidR="00477792" w:rsidRPr="005B7AE3">
        <w:rPr>
          <w:b w:val="0"/>
          <w:color w:val="000000" w:themeColor="text1"/>
          <w:sz w:val="24"/>
          <w:szCs w:val="24"/>
        </w:rPr>
        <w:t xml:space="preserve">ells </w:t>
      </w:r>
      <w:r w:rsidR="0002685C" w:rsidRPr="005B7AE3">
        <w:rPr>
          <w:b w:val="0"/>
          <w:color w:val="000000" w:themeColor="text1"/>
          <w:sz w:val="24"/>
          <w:szCs w:val="24"/>
        </w:rPr>
        <w:t>were fixed and permeabiliz</w:t>
      </w:r>
      <w:r w:rsidR="00477792" w:rsidRPr="005B7AE3">
        <w:rPr>
          <w:b w:val="0"/>
          <w:color w:val="000000" w:themeColor="text1"/>
          <w:sz w:val="24"/>
          <w:szCs w:val="24"/>
        </w:rPr>
        <w:t xml:space="preserve">ed and then stained with appropriate primary antibodies over night at 4 </w:t>
      </w:r>
      <w:proofErr w:type="spellStart"/>
      <w:r w:rsidR="00477792" w:rsidRPr="005B7AE3">
        <w:rPr>
          <w:b w:val="0"/>
          <w:color w:val="000000" w:themeColor="text1"/>
          <w:sz w:val="24"/>
          <w:szCs w:val="24"/>
          <w:vertAlign w:val="superscript"/>
        </w:rPr>
        <w:t>o</w:t>
      </w:r>
      <w:r w:rsidR="00477792" w:rsidRPr="005B7AE3">
        <w:rPr>
          <w:b w:val="0"/>
          <w:color w:val="000000" w:themeColor="text1"/>
          <w:sz w:val="24"/>
          <w:szCs w:val="24"/>
        </w:rPr>
        <w:t>C.</w:t>
      </w:r>
      <w:proofErr w:type="spellEnd"/>
      <w:r w:rsidR="00477792" w:rsidRPr="005B7AE3">
        <w:rPr>
          <w:b w:val="0"/>
          <w:color w:val="000000" w:themeColor="text1"/>
          <w:sz w:val="24"/>
          <w:szCs w:val="24"/>
        </w:rPr>
        <w:t xml:space="preserve"> Where indicated, subsequent staining with secondary antibodies was performed for 2 h at room temperature. Cells were then mounted with </w:t>
      </w:r>
      <w:proofErr w:type="spellStart"/>
      <w:r w:rsidR="00477792" w:rsidRPr="005B7AE3">
        <w:rPr>
          <w:b w:val="0"/>
          <w:color w:val="000000" w:themeColor="text1"/>
          <w:sz w:val="24"/>
          <w:szCs w:val="24"/>
        </w:rPr>
        <w:t>ProLong</w:t>
      </w:r>
      <w:proofErr w:type="spellEnd"/>
      <w:r w:rsidR="00477792" w:rsidRPr="005B7AE3">
        <w:rPr>
          <w:b w:val="0"/>
          <w:color w:val="000000" w:themeColor="text1"/>
          <w:sz w:val="24"/>
          <w:szCs w:val="24"/>
        </w:rPr>
        <w:t xml:space="preserve"> Gold (</w:t>
      </w:r>
      <w:proofErr w:type="spellStart"/>
      <w:r w:rsidR="00477792" w:rsidRPr="005B7AE3">
        <w:rPr>
          <w:b w:val="0"/>
          <w:color w:val="000000" w:themeColor="text1"/>
          <w:sz w:val="24"/>
          <w:szCs w:val="24"/>
        </w:rPr>
        <w:t>ThermoFisher</w:t>
      </w:r>
      <w:proofErr w:type="spellEnd"/>
      <w:r w:rsidR="00477792" w:rsidRPr="005B7AE3">
        <w:rPr>
          <w:b w:val="0"/>
          <w:color w:val="000000" w:themeColor="text1"/>
          <w:sz w:val="24"/>
          <w:szCs w:val="24"/>
        </w:rPr>
        <w:t xml:space="preserve">, </w:t>
      </w:r>
      <w:proofErr w:type="spellStart"/>
      <w:r w:rsidR="00477792" w:rsidRPr="005B7AE3">
        <w:rPr>
          <w:b w:val="0"/>
          <w:color w:val="000000" w:themeColor="text1"/>
          <w:sz w:val="24"/>
          <w:szCs w:val="24"/>
        </w:rPr>
        <w:t>Paysley</w:t>
      </w:r>
      <w:proofErr w:type="spellEnd"/>
      <w:r w:rsidR="00477792" w:rsidRPr="005B7AE3">
        <w:rPr>
          <w:b w:val="0"/>
          <w:color w:val="000000" w:themeColor="text1"/>
          <w:sz w:val="24"/>
          <w:szCs w:val="24"/>
        </w:rPr>
        <w:t xml:space="preserve">, UK) and images obtained </w:t>
      </w:r>
      <w:r w:rsidR="0002685C" w:rsidRPr="005B7AE3">
        <w:rPr>
          <w:b w:val="0"/>
          <w:color w:val="000000" w:themeColor="text1"/>
          <w:sz w:val="24"/>
          <w:szCs w:val="24"/>
        </w:rPr>
        <w:t xml:space="preserve">using </w:t>
      </w:r>
      <w:r w:rsidR="00477792" w:rsidRPr="005B7AE3">
        <w:rPr>
          <w:b w:val="0"/>
          <w:color w:val="000000" w:themeColor="text1"/>
          <w:sz w:val="24"/>
          <w:szCs w:val="24"/>
        </w:rPr>
        <w:t>the KCL Nikon Imaging Centre by confocal fluorescence microscopy using an A1R SI Confocal Microscope with a x60 objective (</w:t>
      </w:r>
      <w:proofErr w:type="spellStart"/>
      <w:r w:rsidR="00477792" w:rsidRPr="005B7AE3">
        <w:rPr>
          <w:b w:val="0"/>
          <w:color w:val="000000" w:themeColor="text1"/>
          <w:sz w:val="24"/>
          <w:szCs w:val="24"/>
        </w:rPr>
        <w:t>Nikon</w:t>
      </w:r>
      <w:r w:rsidR="00477792" w:rsidRPr="005B7AE3">
        <w:rPr>
          <w:b w:val="0"/>
          <w:color w:val="000000" w:themeColor="text1"/>
          <w:sz w:val="24"/>
          <w:szCs w:val="24"/>
          <w:vertAlign w:val="superscript"/>
        </w:rPr>
        <w:t>TM</w:t>
      </w:r>
      <w:proofErr w:type="spellEnd"/>
      <w:r w:rsidR="00477792" w:rsidRPr="005B7AE3">
        <w:rPr>
          <w:b w:val="0"/>
          <w:color w:val="000000" w:themeColor="text1"/>
          <w:sz w:val="24"/>
          <w:szCs w:val="24"/>
        </w:rPr>
        <w:t>, Surrey, UK). For the determination of the Pearson’s Correlation Coefficient the NIS Elements software version 4.03 (Nikon) was used. At least ten layers in 3D plane were scanned for each sample and for all samples a cropped image of a minimum of 12 cells was used to determine a total of 5 co-localization coefficients. The median value for all layers/cells of a given image was calculated and used to plot the Pearson’s Correlation Coefficient. Experiments were performed at least three times with three different healthy donors each time</w:t>
      </w:r>
    </w:p>
    <w:p w14:paraId="197747F8" w14:textId="77777777" w:rsidR="00477792" w:rsidRPr="005B7AE3" w:rsidRDefault="00477792" w:rsidP="007A311E">
      <w:pPr>
        <w:pStyle w:val="Heading3"/>
        <w:spacing w:before="0" w:beforeAutospacing="0" w:after="0" w:afterAutospacing="0"/>
        <w:jc w:val="both"/>
        <w:rPr>
          <w:rStyle w:val="normaltextrun"/>
          <w:iCs/>
          <w:color w:val="000000" w:themeColor="text1"/>
          <w:sz w:val="24"/>
          <w:szCs w:val="24"/>
        </w:rPr>
      </w:pPr>
    </w:p>
    <w:p w14:paraId="701552FE" w14:textId="06C6F37A" w:rsidR="00D05513" w:rsidRPr="005B7AE3" w:rsidRDefault="00D05513" w:rsidP="007A311E">
      <w:pPr>
        <w:pStyle w:val="Heading3"/>
        <w:spacing w:before="0" w:beforeAutospacing="0" w:after="0" w:afterAutospacing="0"/>
        <w:jc w:val="both"/>
        <w:rPr>
          <w:rStyle w:val="normaltextrun"/>
          <w:iCs/>
          <w:color w:val="000000" w:themeColor="text1"/>
          <w:sz w:val="24"/>
          <w:szCs w:val="24"/>
        </w:rPr>
      </w:pPr>
      <w:r w:rsidRPr="005B7AE3">
        <w:rPr>
          <w:rStyle w:val="normaltextrun"/>
          <w:iCs/>
          <w:color w:val="000000" w:themeColor="text1"/>
          <w:sz w:val="24"/>
          <w:szCs w:val="24"/>
        </w:rPr>
        <w:t>Western blotting</w:t>
      </w:r>
    </w:p>
    <w:p w14:paraId="73D329B9" w14:textId="20CBFD28" w:rsidR="0002685C" w:rsidRPr="005B7AE3" w:rsidRDefault="0002685C" w:rsidP="0002685C">
      <w:pPr>
        <w:pStyle w:val="Heading3"/>
        <w:spacing w:before="0" w:beforeAutospacing="0" w:after="0" w:afterAutospacing="0"/>
        <w:jc w:val="both"/>
        <w:rPr>
          <w:rStyle w:val="normaltextrun"/>
          <w:b w:val="0"/>
          <w:iCs/>
          <w:color w:val="000000" w:themeColor="text1"/>
          <w:sz w:val="24"/>
          <w:szCs w:val="24"/>
        </w:rPr>
      </w:pPr>
      <w:r w:rsidRPr="005B7AE3">
        <w:rPr>
          <w:rStyle w:val="normaltextrun"/>
          <w:b w:val="0"/>
          <w:iCs/>
          <w:color w:val="000000" w:themeColor="text1"/>
          <w:sz w:val="24"/>
          <w:szCs w:val="24"/>
        </w:rPr>
        <w:t xml:space="preserve">Cytoplasmic and nuclear protein fractions of resting and activated T cells were separated using </w:t>
      </w:r>
      <w:r w:rsidR="004251DA" w:rsidRPr="005B7AE3">
        <w:rPr>
          <w:rStyle w:val="normaltextrun"/>
          <w:b w:val="0"/>
          <w:iCs/>
          <w:color w:val="000000" w:themeColor="text1"/>
          <w:sz w:val="24"/>
          <w:szCs w:val="24"/>
        </w:rPr>
        <w:t>the NE-PER E</w:t>
      </w:r>
      <w:r w:rsidRPr="005B7AE3">
        <w:rPr>
          <w:rStyle w:val="normaltextrun"/>
          <w:b w:val="0"/>
          <w:iCs/>
          <w:color w:val="000000" w:themeColor="text1"/>
          <w:sz w:val="24"/>
          <w:szCs w:val="24"/>
        </w:rPr>
        <w:t>xtraction</w:t>
      </w:r>
      <w:r w:rsidR="004251DA" w:rsidRPr="005B7AE3">
        <w:rPr>
          <w:rStyle w:val="normaltextrun"/>
          <w:b w:val="0"/>
          <w:iCs/>
          <w:color w:val="000000" w:themeColor="text1"/>
          <w:sz w:val="24"/>
          <w:szCs w:val="24"/>
        </w:rPr>
        <w:t xml:space="preserve"> K</w:t>
      </w:r>
      <w:r w:rsidRPr="005B7AE3">
        <w:rPr>
          <w:rStyle w:val="normaltextrun"/>
          <w:b w:val="0"/>
          <w:iCs/>
          <w:color w:val="000000" w:themeColor="text1"/>
          <w:sz w:val="24"/>
          <w:szCs w:val="24"/>
        </w:rPr>
        <w:t>it (</w:t>
      </w:r>
      <w:r w:rsidR="004251DA" w:rsidRPr="005B7AE3">
        <w:rPr>
          <w:rStyle w:val="normaltextrun"/>
          <w:b w:val="0"/>
          <w:iCs/>
          <w:color w:val="000000" w:themeColor="text1"/>
          <w:sz w:val="24"/>
          <w:szCs w:val="24"/>
        </w:rPr>
        <w:t xml:space="preserve">78833; </w:t>
      </w:r>
      <w:proofErr w:type="spellStart"/>
      <w:r w:rsidRPr="005B7AE3">
        <w:rPr>
          <w:rStyle w:val="normaltextrun"/>
          <w:b w:val="0"/>
          <w:iCs/>
          <w:color w:val="000000" w:themeColor="text1"/>
          <w:sz w:val="24"/>
          <w:szCs w:val="24"/>
        </w:rPr>
        <w:t>ThermoFisher</w:t>
      </w:r>
      <w:proofErr w:type="spellEnd"/>
      <w:r w:rsidRPr="005B7AE3">
        <w:rPr>
          <w:rStyle w:val="normaltextrun"/>
          <w:b w:val="0"/>
          <w:iCs/>
          <w:color w:val="000000" w:themeColor="text1"/>
          <w:sz w:val="24"/>
          <w:szCs w:val="24"/>
        </w:rPr>
        <w:t>,</w:t>
      </w:r>
      <w:r w:rsidR="004251DA" w:rsidRPr="005B7AE3">
        <w:rPr>
          <w:rStyle w:val="normaltextrun"/>
          <w:b w:val="0"/>
          <w:iCs/>
          <w:color w:val="000000" w:themeColor="text1"/>
          <w:sz w:val="24"/>
          <w:szCs w:val="24"/>
        </w:rPr>
        <w:t xml:space="preserve"> Waltham, MA</w:t>
      </w:r>
      <w:r w:rsidRPr="005B7AE3">
        <w:rPr>
          <w:rStyle w:val="normaltextrun"/>
          <w:b w:val="0"/>
          <w:iCs/>
          <w:color w:val="000000" w:themeColor="text1"/>
          <w:sz w:val="24"/>
          <w:szCs w:val="24"/>
        </w:rPr>
        <w:t xml:space="preserve">) following </w:t>
      </w:r>
      <w:r w:rsidR="004251DA" w:rsidRPr="005B7AE3">
        <w:rPr>
          <w:rStyle w:val="normaltextrun"/>
          <w:b w:val="0"/>
          <w:iCs/>
          <w:color w:val="000000" w:themeColor="text1"/>
          <w:sz w:val="24"/>
          <w:szCs w:val="24"/>
        </w:rPr>
        <w:t xml:space="preserve">the </w:t>
      </w:r>
      <w:r w:rsidRPr="005B7AE3">
        <w:rPr>
          <w:rStyle w:val="normaltextrun"/>
          <w:b w:val="0"/>
          <w:iCs/>
          <w:color w:val="000000" w:themeColor="text1"/>
          <w:sz w:val="24"/>
          <w:szCs w:val="24"/>
        </w:rPr>
        <w:t xml:space="preserve">manufacturer’s provided protocol. Twenty ng total protein per well was </w:t>
      </w:r>
      <w:r w:rsidR="004251DA" w:rsidRPr="005B7AE3">
        <w:rPr>
          <w:rStyle w:val="normaltextrun"/>
          <w:b w:val="0"/>
          <w:iCs/>
          <w:color w:val="000000" w:themeColor="text1"/>
          <w:sz w:val="24"/>
          <w:szCs w:val="24"/>
        </w:rPr>
        <w:t>separated using</w:t>
      </w:r>
      <w:r w:rsidRPr="005B7AE3">
        <w:rPr>
          <w:rStyle w:val="normaltextrun"/>
          <w:b w:val="0"/>
          <w:iCs/>
          <w:color w:val="000000" w:themeColor="text1"/>
          <w:sz w:val="24"/>
          <w:szCs w:val="24"/>
        </w:rPr>
        <w:t xml:space="preserve"> 4</w:t>
      </w:r>
      <w:r w:rsidR="004251DA" w:rsidRPr="005B7AE3">
        <w:rPr>
          <w:rStyle w:val="normaltextrun"/>
          <w:b w:val="0"/>
          <w:iCs/>
          <w:color w:val="000000" w:themeColor="text1"/>
          <w:sz w:val="24"/>
          <w:szCs w:val="24"/>
        </w:rPr>
        <w:t xml:space="preserve"> </w:t>
      </w:r>
      <w:r w:rsidRPr="005B7AE3">
        <w:rPr>
          <w:rStyle w:val="normaltextrun"/>
          <w:b w:val="0"/>
          <w:iCs/>
          <w:color w:val="000000" w:themeColor="text1"/>
          <w:sz w:val="24"/>
          <w:szCs w:val="24"/>
        </w:rPr>
        <w:t>-</w:t>
      </w:r>
      <w:r w:rsidR="004251DA" w:rsidRPr="005B7AE3">
        <w:rPr>
          <w:rStyle w:val="normaltextrun"/>
          <w:b w:val="0"/>
          <w:iCs/>
          <w:color w:val="000000" w:themeColor="text1"/>
          <w:sz w:val="24"/>
          <w:szCs w:val="24"/>
        </w:rPr>
        <w:t xml:space="preserve"> </w:t>
      </w:r>
      <w:r w:rsidRPr="005B7AE3">
        <w:rPr>
          <w:rStyle w:val="normaltextrun"/>
          <w:b w:val="0"/>
          <w:iCs/>
          <w:color w:val="000000" w:themeColor="text1"/>
          <w:sz w:val="24"/>
          <w:szCs w:val="24"/>
        </w:rPr>
        <w:t>12% Tris Glycine gels (</w:t>
      </w:r>
      <w:r w:rsidR="004251DA" w:rsidRPr="005B7AE3">
        <w:rPr>
          <w:rStyle w:val="normaltextrun"/>
          <w:b w:val="0"/>
          <w:iCs/>
          <w:color w:val="000000" w:themeColor="text1"/>
          <w:sz w:val="24"/>
          <w:szCs w:val="24"/>
        </w:rPr>
        <w:t xml:space="preserve">XP04120BOX ; </w:t>
      </w:r>
      <w:proofErr w:type="spellStart"/>
      <w:r w:rsidRPr="005B7AE3">
        <w:rPr>
          <w:rStyle w:val="normaltextrun"/>
          <w:b w:val="0"/>
          <w:iCs/>
          <w:color w:val="000000" w:themeColor="text1"/>
          <w:sz w:val="24"/>
          <w:szCs w:val="24"/>
        </w:rPr>
        <w:t>ThermoFisher</w:t>
      </w:r>
      <w:proofErr w:type="spellEnd"/>
      <w:r w:rsidRPr="005B7AE3">
        <w:rPr>
          <w:rStyle w:val="normaltextrun"/>
          <w:b w:val="0"/>
          <w:iCs/>
          <w:color w:val="000000" w:themeColor="text1"/>
          <w:sz w:val="24"/>
          <w:szCs w:val="24"/>
        </w:rPr>
        <w:t>,</w:t>
      </w:r>
      <w:r w:rsidR="004251DA" w:rsidRPr="005B7AE3">
        <w:rPr>
          <w:rStyle w:val="normaltextrun"/>
          <w:b w:val="0"/>
          <w:iCs/>
          <w:color w:val="000000" w:themeColor="text1"/>
          <w:sz w:val="24"/>
          <w:szCs w:val="24"/>
        </w:rPr>
        <w:t>) and p</w:t>
      </w:r>
      <w:r w:rsidRPr="005B7AE3">
        <w:rPr>
          <w:rStyle w:val="normaltextrun"/>
          <w:b w:val="0"/>
          <w:iCs/>
          <w:color w:val="000000" w:themeColor="text1"/>
          <w:sz w:val="24"/>
          <w:szCs w:val="24"/>
        </w:rPr>
        <w:t xml:space="preserve">roteins </w:t>
      </w:r>
      <w:r w:rsidR="004251DA" w:rsidRPr="005B7AE3">
        <w:rPr>
          <w:rStyle w:val="normaltextrun"/>
          <w:b w:val="0"/>
          <w:iCs/>
          <w:color w:val="000000" w:themeColor="text1"/>
          <w:sz w:val="24"/>
          <w:szCs w:val="24"/>
        </w:rPr>
        <w:t>then</w:t>
      </w:r>
      <w:r w:rsidRPr="005B7AE3">
        <w:rPr>
          <w:rStyle w:val="normaltextrun"/>
          <w:b w:val="0"/>
          <w:iCs/>
          <w:color w:val="000000" w:themeColor="text1"/>
          <w:sz w:val="24"/>
          <w:szCs w:val="24"/>
        </w:rPr>
        <w:t xml:space="preserve"> transferred using </w:t>
      </w:r>
      <w:proofErr w:type="spellStart"/>
      <w:r w:rsidRPr="005B7AE3">
        <w:rPr>
          <w:rStyle w:val="normaltextrun"/>
          <w:b w:val="0"/>
          <w:iCs/>
          <w:color w:val="000000" w:themeColor="text1"/>
          <w:sz w:val="24"/>
          <w:szCs w:val="24"/>
        </w:rPr>
        <w:t>iBlot</w:t>
      </w:r>
      <w:proofErr w:type="spellEnd"/>
      <w:r w:rsidRPr="005B7AE3">
        <w:rPr>
          <w:rStyle w:val="normaltextrun"/>
          <w:b w:val="0"/>
          <w:iCs/>
          <w:color w:val="000000" w:themeColor="text1"/>
          <w:sz w:val="24"/>
          <w:szCs w:val="24"/>
        </w:rPr>
        <w:t xml:space="preserve"> nitrocellulose transfer stacks (</w:t>
      </w:r>
      <w:r w:rsidR="004251DA" w:rsidRPr="005B7AE3">
        <w:rPr>
          <w:rStyle w:val="normaltextrun"/>
          <w:b w:val="0"/>
          <w:iCs/>
          <w:color w:val="000000" w:themeColor="text1"/>
          <w:sz w:val="24"/>
          <w:szCs w:val="24"/>
        </w:rPr>
        <w:t xml:space="preserve">IB301001; </w:t>
      </w:r>
      <w:proofErr w:type="spellStart"/>
      <w:r w:rsidR="004251DA" w:rsidRPr="005B7AE3">
        <w:rPr>
          <w:rStyle w:val="normaltextrun"/>
          <w:b w:val="0"/>
          <w:iCs/>
          <w:color w:val="000000" w:themeColor="text1"/>
          <w:sz w:val="24"/>
          <w:szCs w:val="24"/>
        </w:rPr>
        <w:t>ThermoFisher</w:t>
      </w:r>
      <w:proofErr w:type="spellEnd"/>
      <w:r w:rsidRPr="005B7AE3">
        <w:rPr>
          <w:rStyle w:val="normaltextrun"/>
          <w:b w:val="0"/>
          <w:iCs/>
          <w:color w:val="000000" w:themeColor="text1"/>
          <w:sz w:val="24"/>
          <w:szCs w:val="24"/>
        </w:rPr>
        <w:t xml:space="preserve">) and </w:t>
      </w:r>
      <w:proofErr w:type="spellStart"/>
      <w:r w:rsidRPr="005B7AE3">
        <w:rPr>
          <w:rStyle w:val="normaltextrun"/>
          <w:b w:val="0"/>
          <w:iCs/>
          <w:color w:val="000000" w:themeColor="text1"/>
          <w:sz w:val="24"/>
          <w:szCs w:val="24"/>
        </w:rPr>
        <w:t>iBlot</w:t>
      </w:r>
      <w:proofErr w:type="spellEnd"/>
      <w:r w:rsidRPr="005B7AE3">
        <w:rPr>
          <w:rStyle w:val="normaltextrun"/>
          <w:b w:val="0"/>
          <w:iCs/>
          <w:color w:val="000000" w:themeColor="text1"/>
          <w:sz w:val="24"/>
          <w:szCs w:val="24"/>
        </w:rPr>
        <w:t xml:space="preserve"> transfer equipment (</w:t>
      </w:r>
      <w:proofErr w:type="spellStart"/>
      <w:r w:rsidRPr="005B7AE3">
        <w:rPr>
          <w:rStyle w:val="normaltextrun"/>
          <w:b w:val="0"/>
          <w:iCs/>
          <w:color w:val="000000" w:themeColor="text1"/>
          <w:sz w:val="24"/>
          <w:szCs w:val="24"/>
        </w:rPr>
        <w:t>ThermoFisher</w:t>
      </w:r>
      <w:proofErr w:type="spellEnd"/>
      <w:r w:rsidRPr="005B7AE3">
        <w:rPr>
          <w:rStyle w:val="normaltextrun"/>
          <w:b w:val="0"/>
          <w:iCs/>
          <w:color w:val="000000" w:themeColor="text1"/>
          <w:sz w:val="24"/>
          <w:szCs w:val="24"/>
        </w:rPr>
        <w:t>) for 6 mins. Following blocking with fat-free milk (Marvel) fo</w:t>
      </w:r>
      <w:r w:rsidR="004251DA" w:rsidRPr="005B7AE3">
        <w:rPr>
          <w:rStyle w:val="normaltextrun"/>
          <w:b w:val="0"/>
          <w:iCs/>
          <w:color w:val="000000" w:themeColor="text1"/>
          <w:sz w:val="24"/>
          <w:szCs w:val="24"/>
        </w:rPr>
        <w:t xml:space="preserve">r 2 hours at </w:t>
      </w:r>
      <w:r w:rsidRPr="005B7AE3">
        <w:rPr>
          <w:rStyle w:val="normaltextrun"/>
          <w:b w:val="0"/>
          <w:iCs/>
          <w:color w:val="000000" w:themeColor="text1"/>
          <w:sz w:val="24"/>
          <w:szCs w:val="24"/>
        </w:rPr>
        <w:t>room temperature</w:t>
      </w:r>
      <w:r w:rsidR="004251DA" w:rsidRPr="005B7AE3">
        <w:rPr>
          <w:rStyle w:val="normaltextrun"/>
          <w:b w:val="0"/>
          <w:iCs/>
          <w:color w:val="000000" w:themeColor="text1"/>
          <w:sz w:val="24"/>
          <w:szCs w:val="24"/>
        </w:rPr>
        <w:t>,</w:t>
      </w:r>
      <w:r w:rsidRPr="005B7AE3">
        <w:rPr>
          <w:rStyle w:val="normaltextrun"/>
          <w:b w:val="0"/>
          <w:iCs/>
          <w:color w:val="000000" w:themeColor="text1"/>
          <w:sz w:val="24"/>
          <w:szCs w:val="24"/>
        </w:rPr>
        <w:t xml:space="preserve"> the membranes were incubated over night with appropriate primary and</w:t>
      </w:r>
      <w:r w:rsidR="004251DA" w:rsidRPr="005B7AE3">
        <w:rPr>
          <w:rStyle w:val="normaltextrun"/>
          <w:b w:val="0"/>
          <w:iCs/>
          <w:color w:val="000000" w:themeColor="text1"/>
          <w:sz w:val="24"/>
          <w:szCs w:val="24"/>
        </w:rPr>
        <w:t>/or</w:t>
      </w:r>
      <w:r w:rsidRPr="005B7AE3">
        <w:rPr>
          <w:rStyle w:val="normaltextrun"/>
          <w:b w:val="0"/>
          <w:iCs/>
          <w:color w:val="000000" w:themeColor="text1"/>
          <w:sz w:val="24"/>
          <w:szCs w:val="24"/>
        </w:rPr>
        <w:t xml:space="preserve"> secondary antibodies </w:t>
      </w:r>
      <w:r w:rsidR="004251DA" w:rsidRPr="005B7AE3">
        <w:rPr>
          <w:rStyle w:val="normaltextrun"/>
          <w:b w:val="0"/>
          <w:iCs/>
          <w:color w:val="000000" w:themeColor="text1"/>
          <w:sz w:val="24"/>
          <w:szCs w:val="24"/>
        </w:rPr>
        <w:t xml:space="preserve">at the manufacturer’s suggested concentration/dilutions. Proteins were then visualized using the </w:t>
      </w:r>
      <w:proofErr w:type="spellStart"/>
      <w:r w:rsidR="004251DA" w:rsidRPr="005B7AE3">
        <w:rPr>
          <w:rStyle w:val="normaltextrun"/>
          <w:b w:val="0"/>
          <w:iCs/>
          <w:color w:val="000000" w:themeColor="text1"/>
          <w:sz w:val="24"/>
          <w:szCs w:val="24"/>
        </w:rPr>
        <w:t>ChemiDoc</w:t>
      </w:r>
      <w:proofErr w:type="spellEnd"/>
      <w:r w:rsidR="004251DA" w:rsidRPr="005B7AE3">
        <w:rPr>
          <w:rStyle w:val="normaltextrun"/>
          <w:b w:val="0"/>
          <w:iCs/>
          <w:color w:val="000000" w:themeColor="text1"/>
          <w:sz w:val="24"/>
          <w:szCs w:val="24"/>
        </w:rPr>
        <w:t xml:space="preserve"> Imaging S</w:t>
      </w:r>
      <w:r w:rsidRPr="005B7AE3">
        <w:rPr>
          <w:rStyle w:val="normaltextrun"/>
          <w:b w:val="0"/>
          <w:iCs/>
          <w:color w:val="000000" w:themeColor="text1"/>
          <w:sz w:val="24"/>
          <w:szCs w:val="24"/>
        </w:rPr>
        <w:t>ystem (</w:t>
      </w:r>
      <w:proofErr w:type="spellStart"/>
      <w:r w:rsidRPr="005B7AE3">
        <w:rPr>
          <w:rStyle w:val="normaltextrun"/>
          <w:b w:val="0"/>
          <w:iCs/>
          <w:color w:val="000000" w:themeColor="text1"/>
          <w:sz w:val="24"/>
          <w:szCs w:val="24"/>
        </w:rPr>
        <w:t>BioRad</w:t>
      </w:r>
      <w:proofErr w:type="spellEnd"/>
      <w:r w:rsidRPr="005B7AE3">
        <w:rPr>
          <w:rStyle w:val="normaltextrun"/>
          <w:b w:val="0"/>
          <w:iCs/>
          <w:color w:val="000000" w:themeColor="text1"/>
          <w:sz w:val="24"/>
          <w:szCs w:val="24"/>
        </w:rPr>
        <w:t xml:space="preserve">, Watford, UK) </w:t>
      </w:r>
      <w:r w:rsidR="004251DA" w:rsidRPr="005B7AE3">
        <w:rPr>
          <w:rStyle w:val="normaltextrun"/>
          <w:b w:val="0"/>
          <w:iCs/>
          <w:color w:val="000000" w:themeColor="text1"/>
          <w:sz w:val="24"/>
          <w:szCs w:val="24"/>
        </w:rPr>
        <w:t>in combination with Image Lab S</w:t>
      </w:r>
      <w:r w:rsidRPr="005B7AE3">
        <w:rPr>
          <w:rStyle w:val="normaltextrun"/>
          <w:b w:val="0"/>
          <w:iCs/>
          <w:color w:val="000000" w:themeColor="text1"/>
          <w:sz w:val="24"/>
          <w:szCs w:val="24"/>
        </w:rPr>
        <w:t>oftware (</w:t>
      </w:r>
      <w:proofErr w:type="spellStart"/>
      <w:r w:rsidRPr="005B7AE3">
        <w:rPr>
          <w:rStyle w:val="normaltextrun"/>
          <w:b w:val="0"/>
          <w:iCs/>
          <w:color w:val="000000" w:themeColor="text1"/>
          <w:sz w:val="24"/>
          <w:szCs w:val="24"/>
        </w:rPr>
        <w:t>BioRad</w:t>
      </w:r>
      <w:proofErr w:type="spellEnd"/>
      <w:r w:rsidR="004251DA" w:rsidRPr="005B7AE3">
        <w:rPr>
          <w:rStyle w:val="normaltextrun"/>
          <w:b w:val="0"/>
          <w:iCs/>
          <w:color w:val="000000" w:themeColor="text1"/>
          <w:sz w:val="24"/>
          <w:szCs w:val="24"/>
        </w:rPr>
        <w:t>, Hercules, CA</w:t>
      </w:r>
      <w:r w:rsidRPr="005B7AE3">
        <w:rPr>
          <w:rStyle w:val="normaltextrun"/>
          <w:b w:val="0"/>
          <w:iCs/>
          <w:color w:val="000000" w:themeColor="text1"/>
          <w:sz w:val="24"/>
          <w:szCs w:val="24"/>
        </w:rPr>
        <w:t xml:space="preserve">). </w:t>
      </w:r>
      <w:r w:rsidR="00294172" w:rsidRPr="005B7AE3">
        <w:rPr>
          <w:rStyle w:val="normaltextrun"/>
          <w:b w:val="0"/>
          <w:iCs/>
          <w:color w:val="000000" w:themeColor="text1"/>
          <w:sz w:val="24"/>
          <w:szCs w:val="24"/>
        </w:rPr>
        <w:t xml:space="preserve">The Image Lab Software was also used to measure the intensity of the obtained bands via densitometric analysis. </w:t>
      </w:r>
    </w:p>
    <w:p w14:paraId="78A753F2" w14:textId="77777777" w:rsidR="00D05513" w:rsidRPr="005B7AE3" w:rsidRDefault="00D05513" w:rsidP="007A311E">
      <w:pPr>
        <w:pStyle w:val="Heading3"/>
        <w:spacing w:before="0" w:beforeAutospacing="0" w:after="0" w:afterAutospacing="0"/>
        <w:jc w:val="both"/>
        <w:rPr>
          <w:rStyle w:val="normaltextrun"/>
          <w:iCs/>
          <w:color w:val="000000" w:themeColor="text1"/>
          <w:sz w:val="24"/>
          <w:szCs w:val="24"/>
        </w:rPr>
      </w:pPr>
    </w:p>
    <w:p w14:paraId="11458C30" w14:textId="77777777" w:rsidR="00EC3C6F" w:rsidRPr="005B7AE3" w:rsidRDefault="00EC3C6F" w:rsidP="00AF78A0">
      <w:pPr>
        <w:jc w:val="both"/>
        <w:rPr>
          <w:rFonts w:ascii="Arial" w:hAnsi="Arial" w:cs="Arial"/>
          <w:b/>
          <w:color w:val="000000" w:themeColor="text1"/>
        </w:rPr>
      </w:pPr>
    </w:p>
    <w:p w14:paraId="4204B97F" w14:textId="77777777" w:rsidR="00EC3C6F" w:rsidRPr="005B7AE3" w:rsidRDefault="00EC3C6F" w:rsidP="00AF78A0">
      <w:pPr>
        <w:jc w:val="both"/>
        <w:rPr>
          <w:rFonts w:ascii="Arial" w:hAnsi="Arial" w:cs="Arial"/>
          <w:b/>
          <w:color w:val="000000" w:themeColor="text1"/>
        </w:rPr>
      </w:pPr>
    </w:p>
    <w:p w14:paraId="0C8B0E92" w14:textId="77777777" w:rsidR="00EC3C6F" w:rsidRPr="005B7AE3" w:rsidRDefault="00EC3C6F" w:rsidP="00AF78A0">
      <w:pPr>
        <w:jc w:val="both"/>
        <w:rPr>
          <w:rFonts w:ascii="Arial" w:hAnsi="Arial" w:cs="Arial"/>
          <w:b/>
          <w:color w:val="000000" w:themeColor="text1"/>
        </w:rPr>
      </w:pPr>
    </w:p>
    <w:p w14:paraId="0DD5F400" w14:textId="77777777" w:rsidR="00EC3C6F" w:rsidRDefault="00EC3C6F" w:rsidP="00AF78A0">
      <w:pPr>
        <w:jc w:val="both"/>
        <w:rPr>
          <w:rFonts w:ascii="Arial" w:hAnsi="Arial" w:cs="Arial"/>
          <w:b/>
        </w:rPr>
      </w:pPr>
    </w:p>
    <w:p w14:paraId="2D6C2C25" w14:textId="77777777" w:rsidR="00EC3C6F" w:rsidRDefault="00EC3C6F" w:rsidP="00AF78A0">
      <w:pPr>
        <w:jc w:val="both"/>
        <w:rPr>
          <w:rFonts w:ascii="Arial" w:hAnsi="Arial" w:cs="Arial"/>
          <w:b/>
        </w:rPr>
      </w:pPr>
    </w:p>
    <w:p w14:paraId="1720FA7C" w14:textId="62A60295" w:rsidR="00A21059" w:rsidRDefault="00A21059" w:rsidP="00AF78A0">
      <w:pPr>
        <w:jc w:val="both"/>
        <w:rPr>
          <w:rFonts w:ascii="Arial" w:hAnsi="Arial" w:cs="Arial"/>
          <w:b/>
        </w:rPr>
      </w:pPr>
    </w:p>
    <w:p w14:paraId="15BDEABE" w14:textId="31E341FB" w:rsidR="006434A9" w:rsidRDefault="006434A9" w:rsidP="00AF78A0">
      <w:pPr>
        <w:jc w:val="both"/>
        <w:rPr>
          <w:rFonts w:ascii="Arial" w:hAnsi="Arial" w:cs="Arial"/>
          <w:b/>
        </w:rPr>
      </w:pPr>
    </w:p>
    <w:p w14:paraId="7667148B" w14:textId="6B8C1AF2" w:rsidR="006434A9" w:rsidRDefault="006434A9" w:rsidP="00AF78A0">
      <w:pPr>
        <w:jc w:val="both"/>
        <w:rPr>
          <w:rFonts w:ascii="Arial" w:hAnsi="Arial" w:cs="Arial"/>
          <w:b/>
        </w:rPr>
      </w:pPr>
    </w:p>
    <w:p w14:paraId="78F298E4" w14:textId="0DE06116" w:rsidR="006434A9" w:rsidRDefault="006434A9" w:rsidP="00AF78A0">
      <w:pPr>
        <w:jc w:val="both"/>
        <w:rPr>
          <w:rFonts w:ascii="Arial" w:hAnsi="Arial" w:cs="Arial"/>
          <w:b/>
        </w:rPr>
      </w:pPr>
    </w:p>
    <w:p w14:paraId="651CC16E" w14:textId="450AB7D8" w:rsidR="006434A9" w:rsidRDefault="006434A9" w:rsidP="00AF78A0">
      <w:pPr>
        <w:jc w:val="both"/>
        <w:rPr>
          <w:rFonts w:ascii="Arial" w:hAnsi="Arial" w:cs="Arial"/>
          <w:b/>
        </w:rPr>
      </w:pPr>
    </w:p>
    <w:p w14:paraId="258AE646" w14:textId="473BBC4D" w:rsidR="005547EF" w:rsidRDefault="006434A9" w:rsidP="00AF78A0">
      <w:pPr>
        <w:jc w:val="both"/>
        <w:rPr>
          <w:rFonts w:ascii="Arial" w:hAnsi="Arial" w:cs="Arial"/>
          <w:b/>
        </w:rPr>
      </w:pPr>
      <w:r>
        <w:rPr>
          <w:rFonts w:ascii="Arial" w:hAnsi="Arial" w:cs="Arial"/>
          <w:b/>
        </w:rPr>
        <w:lastRenderedPageBreak/>
        <w:t>Supplementary Figure 1: AEP activity is required for normal Th1 induction in human and mouse CD4</w:t>
      </w:r>
      <w:r w:rsidRPr="006434A9">
        <w:rPr>
          <w:rFonts w:ascii="Arial" w:hAnsi="Arial" w:cs="Arial"/>
          <w:b/>
          <w:vertAlign w:val="superscript"/>
        </w:rPr>
        <w:t>+</w:t>
      </w:r>
      <w:r>
        <w:rPr>
          <w:rFonts w:ascii="Arial" w:hAnsi="Arial" w:cs="Arial"/>
          <w:b/>
        </w:rPr>
        <w:t xml:space="preserve"> T cells</w:t>
      </w:r>
      <w:r w:rsidR="005547EF">
        <w:rPr>
          <w:rFonts w:ascii="Arial" w:hAnsi="Arial" w:cs="Arial"/>
          <w:b/>
        </w:rPr>
        <w:t>.</w:t>
      </w:r>
    </w:p>
    <w:p w14:paraId="59B39FDA" w14:textId="77777777" w:rsidR="004F51DA" w:rsidRDefault="004F51DA" w:rsidP="00AF78A0">
      <w:pPr>
        <w:jc w:val="both"/>
        <w:rPr>
          <w:rFonts w:ascii="Arial" w:hAnsi="Arial" w:cs="Arial"/>
          <w:b/>
        </w:rPr>
      </w:pPr>
    </w:p>
    <w:p w14:paraId="53F552A8" w14:textId="30FC3EED" w:rsidR="005547EF" w:rsidRDefault="005547EF" w:rsidP="005547EF">
      <w:pPr>
        <w:ind w:left="720"/>
        <w:jc w:val="both"/>
        <w:rPr>
          <w:rFonts w:ascii="Arial" w:hAnsi="Arial" w:cs="Arial"/>
          <w:b/>
        </w:rPr>
      </w:pPr>
      <w:r w:rsidRPr="005547EF">
        <w:rPr>
          <w:rFonts w:ascii="Arial" w:hAnsi="Arial" w:cs="Arial"/>
          <w:b/>
          <w:noProof/>
          <w:lang w:val="en-GB" w:eastAsia="en-GB"/>
        </w:rPr>
        <w:drawing>
          <wp:inline distT="0" distB="0" distL="0" distR="0" wp14:anchorId="5C44898E" wp14:editId="11CAF04B">
            <wp:extent cx="4411197" cy="7664450"/>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17855" cy="7676018"/>
                    </a:xfrm>
                    <a:prstGeom prst="rect">
                      <a:avLst/>
                    </a:prstGeom>
                  </pic:spPr>
                </pic:pic>
              </a:graphicData>
            </a:graphic>
          </wp:inline>
        </w:drawing>
      </w:r>
    </w:p>
    <w:p w14:paraId="154B8FB0" w14:textId="77777777" w:rsidR="00104AA6" w:rsidRPr="0071346C" w:rsidRDefault="00104AA6" w:rsidP="00104AA6">
      <w:pPr>
        <w:jc w:val="both"/>
        <w:rPr>
          <w:rFonts w:ascii="Times New Roman" w:hAnsi="Times New Roman" w:cs="Times New Roman"/>
          <w:lang w:val="en-GB"/>
        </w:rPr>
      </w:pPr>
      <w:r w:rsidRPr="00E07445">
        <w:rPr>
          <w:rFonts w:ascii="Times New Roman" w:hAnsi="Times New Roman" w:cs="Times New Roman"/>
          <w:b/>
          <w:lang w:val="en-GB"/>
        </w:rPr>
        <w:lastRenderedPageBreak/>
        <w:t xml:space="preserve">Supplementary </w:t>
      </w:r>
      <w:r w:rsidRPr="00072A03">
        <w:rPr>
          <w:rFonts w:ascii="Times New Roman" w:hAnsi="Times New Roman" w:cs="Times New Roman"/>
          <w:b/>
          <w:bCs/>
        </w:rPr>
        <w:t xml:space="preserve">Figure 1. AEP </w:t>
      </w:r>
      <w:r>
        <w:rPr>
          <w:rFonts w:ascii="Times New Roman" w:hAnsi="Times New Roman" w:cs="Times New Roman"/>
          <w:b/>
          <w:bCs/>
        </w:rPr>
        <w:t>is required for normal IFN-</w:t>
      </w:r>
      <w:r w:rsidRPr="00E07445">
        <w:rPr>
          <w:rFonts w:ascii="Symbol" w:hAnsi="Symbol" w:cs="Times New Roman"/>
          <w:b/>
          <w:bCs/>
        </w:rPr>
        <w:t></w:t>
      </w:r>
      <w:r>
        <w:rPr>
          <w:rFonts w:ascii="Times New Roman" w:hAnsi="Times New Roman" w:cs="Times New Roman"/>
          <w:b/>
          <w:bCs/>
        </w:rPr>
        <w:t xml:space="preserve"> production in human and mouse CD4</w:t>
      </w:r>
      <w:r w:rsidRPr="00771A23">
        <w:rPr>
          <w:rFonts w:ascii="Times New Roman" w:hAnsi="Times New Roman" w:cs="Times New Roman"/>
          <w:b/>
          <w:bCs/>
          <w:vertAlign w:val="superscript"/>
        </w:rPr>
        <w:t>+</w:t>
      </w:r>
      <w:r>
        <w:rPr>
          <w:rFonts w:ascii="Times New Roman" w:hAnsi="Times New Roman" w:cs="Times New Roman"/>
          <w:b/>
          <w:bCs/>
        </w:rPr>
        <w:t xml:space="preserve"> T cells. </w:t>
      </w:r>
      <w:r w:rsidRPr="00072A03">
        <w:rPr>
          <w:rFonts w:ascii="Times New Roman" w:hAnsi="Times New Roman" w:cs="Times New Roman"/>
          <w:b/>
          <w:lang w:val="en-GB"/>
        </w:rPr>
        <w:t xml:space="preserve">(A) </w:t>
      </w:r>
      <w:r w:rsidRPr="00072A03">
        <w:rPr>
          <w:rFonts w:ascii="Times New Roman" w:hAnsi="Times New Roman" w:cs="Times New Roman"/>
          <w:lang w:val="en-GB"/>
        </w:rPr>
        <w:t xml:space="preserve">Cartoon representing the </w:t>
      </w:r>
      <w:r>
        <w:rPr>
          <w:rFonts w:ascii="Times New Roman" w:hAnsi="Times New Roman" w:cs="Times New Roman"/>
          <w:lang w:val="en-GB"/>
        </w:rPr>
        <w:t xml:space="preserve">CD46 and IL-2-driven human </w:t>
      </w:r>
      <w:r w:rsidRPr="00072A03">
        <w:rPr>
          <w:rFonts w:ascii="Times New Roman" w:hAnsi="Times New Roman" w:cs="Times New Roman"/>
          <w:lang w:val="en-GB"/>
        </w:rPr>
        <w:t>T</w:t>
      </w:r>
      <w:r>
        <w:rPr>
          <w:rFonts w:ascii="Times New Roman" w:hAnsi="Times New Roman" w:cs="Times New Roman"/>
          <w:lang w:val="en-GB"/>
        </w:rPr>
        <w:t>h1</w:t>
      </w:r>
      <w:r w:rsidRPr="00072A03">
        <w:rPr>
          <w:rFonts w:ascii="Times New Roman" w:hAnsi="Times New Roman" w:cs="Times New Roman"/>
          <w:lang w:val="en-GB"/>
        </w:rPr>
        <w:t xml:space="preserve"> cell life cycle. </w:t>
      </w:r>
      <w:r>
        <w:rPr>
          <w:rFonts w:ascii="Times New Roman" w:hAnsi="Times New Roman" w:cs="Times New Roman"/>
          <w:lang w:val="en-GB"/>
        </w:rPr>
        <w:t>Left panel:</w:t>
      </w:r>
      <w:r w:rsidRPr="00072A03">
        <w:rPr>
          <w:rFonts w:ascii="Times New Roman" w:hAnsi="Times New Roman" w:cs="Times New Roman"/>
          <w:lang w:val="en-GB"/>
        </w:rPr>
        <w:t xml:space="preserve"> </w:t>
      </w:r>
      <w:r>
        <w:rPr>
          <w:rFonts w:ascii="Times New Roman" w:hAnsi="Times New Roman" w:cs="Times New Roman"/>
          <w:lang w:val="en-GB"/>
        </w:rPr>
        <w:t xml:space="preserve">autocrine </w:t>
      </w:r>
      <w:r w:rsidRPr="00072A03">
        <w:rPr>
          <w:rFonts w:ascii="Times New Roman" w:hAnsi="Times New Roman" w:cs="Times New Roman"/>
          <w:lang w:val="en-GB"/>
        </w:rPr>
        <w:t xml:space="preserve">activation </w:t>
      </w:r>
      <w:r>
        <w:rPr>
          <w:rFonts w:ascii="Times New Roman" w:hAnsi="Times New Roman" w:cs="Times New Roman"/>
          <w:lang w:val="en-GB"/>
        </w:rPr>
        <w:t>of CD46 during T cell receptor (</w:t>
      </w:r>
      <w:r w:rsidRPr="00072A03">
        <w:rPr>
          <w:rFonts w:ascii="Times New Roman" w:hAnsi="Times New Roman" w:cs="Times New Roman"/>
          <w:lang w:val="en-GB"/>
        </w:rPr>
        <w:t>TCR</w:t>
      </w:r>
      <w:r>
        <w:rPr>
          <w:rFonts w:ascii="Times New Roman" w:hAnsi="Times New Roman" w:cs="Times New Roman"/>
          <w:lang w:val="en-GB"/>
        </w:rPr>
        <w:t>)</w:t>
      </w:r>
      <w:r w:rsidRPr="00072A03">
        <w:rPr>
          <w:rFonts w:ascii="Times New Roman" w:hAnsi="Times New Roman" w:cs="Times New Roman"/>
          <w:lang w:val="en-GB"/>
        </w:rPr>
        <w:t xml:space="preserve"> </w:t>
      </w:r>
      <w:r>
        <w:rPr>
          <w:rFonts w:ascii="Times New Roman" w:hAnsi="Times New Roman" w:cs="Times New Roman"/>
          <w:lang w:val="en-GB"/>
        </w:rPr>
        <w:t>activation induces strong</w:t>
      </w:r>
      <w:r w:rsidRPr="00072A03">
        <w:rPr>
          <w:rFonts w:ascii="Times New Roman" w:hAnsi="Times New Roman" w:cs="Times New Roman"/>
          <w:lang w:val="en-GB"/>
        </w:rPr>
        <w:t xml:space="preserve"> IFN-γ</w:t>
      </w:r>
      <w:r>
        <w:rPr>
          <w:rFonts w:ascii="Times New Roman" w:hAnsi="Times New Roman" w:cs="Times New Roman"/>
          <w:lang w:val="en-GB"/>
        </w:rPr>
        <w:t xml:space="preserve"> secretion and Th1 lineage induction in human CD4</w:t>
      </w:r>
      <w:r w:rsidRPr="004916E3">
        <w:rPr>
          <w:rFonts w:ascii="Times New Roman" w:hAnsi="Times New Roman" w:cs="Times New Roman"/>
          <w:vertAlign w:val="superscript"/>
          <w:lang w:val="en-GB"/>
        </w:rPr>
        <w:t>+</w:t>
      </w:r>
      <w:r>
        <w:rPr>
          <w:rFonts w:ascii="Times New Roman" w:hAnsi="Times New Roman" w:cs="Times New Roman"/>
          <w:lang w:val="en-GB"/>
        </w:rPr>
        <w:t xml:space="preserve"> T cells as well as the assembly of IL-2 receptor (IL-2R) in the cell surface. Middle and right panels;</w:t>
      </w:r>
      <w:r w:rsidRPr="00072A03">
        <w:rPr>
          <w:rFonts w:ascii="Times New Roman" w:hAnsi="Times New Roman" w:cs="Times New Roman"/>
          <w:lang w:val="en-GB"/>
        </w:rPr>
        <w:t xml:space="preserve"> </w:t>
      </w:r>
      <w:r>
        <w:rPr>
          <w:rFonts w:ascii="Times New Roman" w:hAnsi="Times New Roman" w:cs="Times New Roman"/>
          <w:lang w:val="en-GB"/>
        </w:rPr>
        <w:t xml:space="preserve">during the expansion of a successful Th1 response, environmental IL-2 increases and </w:t>
      </w:r>
      <w:r w:rsidRPr="00072A03">
        <w:rPr>
          <w:rFonts w:ascii="Times New Roman" w:hAnsi="Times New Roman" w:cs="Times New Roman"/>
          <w:lang w:val="en-GB"/>
        </w:rPr>
        <w:t xml:space="preserve">CD46 and IL-2R signalling </w:t>
      </w:r>
      <w:r>
        <w:rPr>
          <w:rFonts w:ascii="Times New Roman" w:hAnsi="Times New Roman" w:cs="Times New Roman"/>
          <w:lang w:val="en-GB"/>
        </w:rPr>
        <w:t>then drives the co-production of</w:t>
      </w:r>
      <w:r w:rsidRPr="00072A03">
        <w:rPr>
          <w:rFonts w:ascii="Times New Roman" w:hAnsi="Times New Roman" w:cs="Times New Roman"/>
          <w:lang w:val="en-GB"/>
        </w:rPr>
        <w:t xml:space="preserve"> IL-10</w:t>
      </w:r>
      <w:r>
        <w:rPr>
          <w:rFonts w:ascii="Times New Roman" w:hAnsi="Times New Roman" w:cs="Times New Roman"/>
          <w:lang w:val="en-GB"/>
        </w:rPr>
        <w:t xml:space="preserve"> in Th1 cells (through a yet undefined signalling pathway) and finally the switch into </w:t>
      </w:r>
      <w:r w:rsidRPr="00072A03">
        <w:rPr>
          <w:rFonts w:ascii="Times New Roman" w:hAnsi="Times New Roman" w:cs="Times New Roman"/>
          <w:lang w:val="en-GB"/>
        </w:rPr>
        <w:t xml:space="preserve">‘self-regulatory’ </w:t>
      </w:r>
      <w:r>
        <w:rPr>
          <w:rFonts w:ascii="Times New Roman" w:hAnsi="Times New Roman" w:cs="Times New Roman"/>
          <w:lang w:val="en-GB"/>
        </w:rPr>
        <w:t>IL-10 single positive contracting Th1 cells.</w:t>
      </w:r>
      <w:r w:rsidRPr="00072A03">
        <w:rPr>
          <w:rFonts w:ascii="Times New Roman" w:hAnsi="Times New Roman" w:cs="Times New Roman"/>
          <w:lang w:val="en-GB"/>
        </w:rPr>
        <w:t xml:space="preserve"> </w:t>
      </w:r>
      <w:r w:rsidRPr="00072A03">
        <w:rPr>
          <w:rFonts w:ascii="Times New Roman" w:hAnsi="Times New Roman" w:cs="Times New Roman"/>
          <w:b/>
          <w:lang w:val="en-GB"/>
        </w:rPr>
        <w:t>(</w:t>
      </w:r>
      <w:r>
        <w:rPr>
          <w:rFonts w:ascii="Times New Roman" w:hAnsi="Times New Roman" w:cs="Times New Roman"/>
          <w:b/>
          <w:lang w:val="en-GB"/>
        </w:rPr>
        <w:t>B</w:t>
      </w:r>
      <w:r w:rsidRPr="00072A03">
        <w:rPr>
          <w:rFonts w:ascii="Times New Roman" w:hAnsi="Times New Roman" w:cs="Times New Roman"/>
          <w:b/>
          <w:lang w:val="en-GB"/>
        </w:rPr>
        <w:t xml:space="preserve">) </w:t>
      </w:r>
      <w:r w:rsidRPr="00726161">
        <w:rPr>
          <w:rFonts w:ascii="Times New Roman" w:hAnsi="Times New Roman" w:cs="Times New Roman"/>
          <w:lang w:val="en-GB"/>
        </w:rPr>
        <w:t>AEP in</w:t>
      </w:r>
      <w:r>
        <w:rPr>
          <w:rFonts w:ascii="Times New Roman" w:hAnsi="Times New Roman" w:cs="Times New Roman"/>
          <w:lang w:val="en-GB"/>
        </w:rPr>
        <w:t>hibition reduces Th1 induction and IL-10 switching in human CD4</w:t>
      </w:r>
      <w:r w:rsidRPr="00726161">
        <w:rPr>
          <w:rFonts w:ascii="Times New Roman" w:hAnsi="Times New Roman" w:cs="Times New Roman"/>
          <w:vertAlign w:val="superscript"/>
          <w:lang w:val="en-GB"/>
        </w:rPr>
        <w:t>+</w:t>
      </w:r>
      <w:r>
        <w:rPr>
          <w:rFonts w:ascii="Times New Roman" w:hAnsi="Times New Roman" w:cs="Times New Roman"/>
          <w:lang w:val="en-GB"/>
        </w:rPr>
        <w:t xml:space="preserve"> T cells. Purified human CD4</w:t>
      </w:r>
      <w:r w:rsidRPr="00C6562C">
        <w:rPr>
          <w:rFonts w:ascii="Times New Roman" w:hAnsi="Times New Roman" w:cs="Times New Roman"/>
          <w:vertAlign w:val="superscript"/>
          <w:lang w:val="en-GB"/>
        </w:rPr>
        <w:t>+</w:t>
      </w:r>
      <w:r>
        <w:rPr>
          <w:rFonts w:ascii="Times New Roman" w:hAnsi="Times New Roman" w:cs="Times New Roman"/>
          <w:lang w:val="en-GB"/>
        </w:rPr>
        <w:t xml:space="preserve"> T cells were activated with the depicted antibody combinations in the presence or absence of 50 </w:t>
      </w:r>
      <w:r w:rsidRPr="00C6562C">
        <w:rPr>
          <w:rFonts w:ascii="Symbol" w:hAnsi="Symbol" w:cs="Times New Roman"/>
          <w:lang w:val="en-GB"/>
        </w:rPr>
        <w:t></w:t>
      </w:r>
      <w:r>
        <w:rPr>
          <w:rFonts w:ascii="Times New Roman" w:hAnsi="Times New Roman" w:cs="Times New Roman"/>
          <w:lang w:val="en-GB"/>
        </w:rPr>
        <w:t xml:space="preserve">M of a specific AEP inhibitor cytokine secretion measured at 36 hrs post activation using the CBA assay. Shown are the summarized data derived from </w:t>
      </w:r>
      <w:r w:rsidRPr="00F2184E">
        <w:rPr>
          <w:rFonts w:ascii="Times New Roman" w:hAnsi="Times New Roman" w:cs="Times New Roman"/>
          <w:i/>
          <w:lang w:val="en-GB"/>
        </w:rPr>
        <w:t>n</w:t>
      </w:r>
      <w:r>
        <w:rPr>
          <w:rFonts w:ascii="Times New Roman" w:hAnsi="Times New Roman" w:cs="Times New Roman"/>
          <w:lang w:val="en-GB"/>
        </w:rPr>
        <w:t>=5 healthy donors using a different donor each time. (</w:t>
      </w:r>
      <w:r w:rsidRPr="00F2184E">
        <w:rPr>
          <w:rFonts w:ascii="Times New Roman" w:hAnsi="Times New Roman" w:cs="Times New Roman"/>
          <w:b/>
          <w:lang w:val="en-GB"/>
        </w:rPr>
        <w:t>C</w:t>
      </w:r>
      <w:r>
        <w:rPr>
          <w:rFonts w:ascii="Times New Roman" w:hAnsi="Times New Roman" w:cs="Times New Roman"/>
          <w:lang w:val="en-GB"/>
        </w:rPr>
        <w:t>) AEP inhibition does not impact cell viability during CD4</w:t>
      </w:r>
      <w:r w:rsidRPr="008D538C">
        <w:rPr>
          <w:rFonts w:ascii="Times New Roman" w:hAnsi="Times New Roman" w:cs="Times New Roman"/>
          <w:vertAlign w:val="superscript"/>
          <w:lang w:val="en-GB"/>
        </w:rPr>
        <w:t>+</w:t>
      </w:r>
      <w:r>
        <w:rPr>
          <w:rFonts w:ascii="Times New Roman" w:hAnsi="Times New Roman" w:cs="Times New Roman"/>
          <w:lang w:val="en-GB"/>
        </w:rPr>
        <w:t xml:space="preserve"> T cell activation. T cells were activated as under ‘B’ but with increasing amounts of an AEP inhibitor and cell viability measured 36 hrs post activation. (</w:t>
      </w:r>
      <w:r w:rsidRPr="0071346C">
        <w:rPr>
          <w:rFonts w:ascii="Times New Roman" w:hAnsi="Times New Roman" w:cs="Times New Roman"/>
          <w:b/>
          <w:lang w:val="en-GB"/>
        </w:rPr>
        <w:t>D</w:t>
      </w:r>
      <w:r>
        <w:rPr>
          <w:rFonts w:ascii="Times New Roman" w:hAnsi="Times New Roman" w:cs="Times New Roman"/>
          <w:lang w:val="en-GB"/>
        </w:rPr>
        <w:t>) AEP is also required for normal IFN-</w:t>
      </w:r>
      <w:r w:rsidRPr="0071346C">
        <w:rPr>
          <w:rFonts w:ascii="Symbol" w:hAnsi="Symbol" w:cs="Times New Roman"/>
          <w:lang w:val="en-GB"/>
        </w:rPr>
        <w:t></w:t>
      </w:r>
      <w:r>
        <w:rPr>
          <w:rFonts w:ascii="Times New Roman" w:hAnsi="Times New Roman" w:cs="Times New Roman"/>
          <w:lang w:val="en-GB"/>
        </w:rPr>
        <w:t xml:space="preserve"> secretion in mice. Purified naïve CD4</w:t>
      </w:r>
      <w:r w:rsidRPr="00760C62">
        <w:rPr>
          <w:rFonts w:ascii="Times New Roman" w:hAnsi="Times New Roman" w:cs="Times New Roman"/>
          <w:vertAlign w:val="superscript"/>
          <w:lang w:val="en-GB"/>
        </w:rPr>
        <w:t>+</w:t>
      </w:r>
      <w:r>
        <w:rPr>
          <w:rFonts w:ascii="Times New Roman" w:hAnsi="Times New Roman" w:cs="Times New Roman"/>
          <w:lang w:val="en-GB"/>
        </w:rPr>
        <w:t xml:space="preserve"> T cells isolated from either wild type (WT) or AEP-deficient (</w:t>
      </w:r>
      <w:proofErr w:type="spellStart"/>
      <w:r w:rsidRPr="00760C62">
        <w:rPr>
          <w:rFonts w:ascii="Times New Roman" w:hAnsi="Times New Roman" w:cs="Times New Roman"/>
          <w:i/>
          <w:lang w:val="en-GB"/>
        </w:rPr>
        <w:t>Lgmn</w:t>
      </w:r>
      <w:proofErr w:type="spellEnd"/>
      <w:r>
        <w:rPr>
          <w:rFonts w:ascii="Times New Roman" w:hAnsi="Times New Roman" w:cs="Times New Roman"/>
          <w:lang w:val="en-GB"/>
        </w:rPr>
        <w:softHyphen/>
      </w:r>
      <w:r w:rsidRPr="00760C62">
        <w:rPr>
          <w:rFonts w:ascii="Times New Roman" w:hAnsi="Times New Roman" w:cs="Times New Roman"/>
          <w:vertAlign w:val="superscript"/>
          <w:lang w:val="en-GB"/>
        </w:rPr>
        <w:t>–/–</w:t>
      </w:r>
      <w:r>
        <w:rPr>
          <w:rFonts w:ascii="Times New Roman" w:hAnsi="Times New Roman" w:cs="Times New Roman"/>
          <w:lang w:val="en-GB"/>
        </w:rPr>
        <w:t>) mice (</w:t>
      </w:r>
      <w:r w:rsidRPr="00760C62">
        <w:rPr>
          <w:rFonts w:ascii="Times New Roman" w:hAnsi="Times New Roman" w:cs="Times New Roman"/>
          <w:i/>
          <w:lang w:val="en-GB"/>
        </w:rPr>
        <w:t>n</w:t>
      </w:r>
      <w:r>
        <w:rPr>
          <w:rFonts w:ascii="Times New Roman" w:hAnsi="Times New Roman" w:cs="Times New Roman"/>
          <w:lang w:val="en-GB"/>
        </w:rPr>
        <w:t>=5) were activated for 6 days under Th1, Th2 or Th17 skewing conditions and the amounts of IFN-</w:t>
      </w:r>
      <w:r w:rsidRPr="00760C62">
        <w:rPr>
          <w:rFonts w:ascii="Symbol" w:hAnsi="Symbol" w:cs="Times New Roman"/>
          <w:lang w:val="en-GB"/>
        </w:rPr>
        <w:t></w:t>
      </w:r>
      <w:r>
        <w:rPr>
          <w:rFonts w:ascii="Symbol" w:hAnsi="Symbol" w:cs="Times New Roman"/>
          <w:lang w:val="en-GB"/>
        </w:rPr>
        <w:t></w:t>
      </w:r>
      <w:r>
        <w:rPr>
          <w:rFonts w:ascii="Symbol" w:hAnsi="Symbol" w:cs="Times New Roman"/>
          <w:lang w:val="en-GB"/>
        </w:rPr>
        <w:t></w:t>
      </w:r>
      <w:r w:rsidRPr="00760C62">
        <w:rPr>
          <w:rFonts w:ascii="Times New Roman" w:hAnsi="Times New Roman" w:cs="Times New Roman"/>
          <w:lang w:val="en-GB"/>
        </w:rPr>
        <w:t>Th1</w:t>
      </w:r>
      <w:r>
        <w:rPr>
          <w:rFonts w:ascii="Symbol" w:hAnsi="Symbol" w:cs="Times New Roman"/>
          <w:lang w:val="en-GB"/>
        </w:rPr>
        <w:t></w:t>
      </w:r>
      <w:r>
        <w:rPr>
          <w:rFonts w:ascii="Times New Roman" w:hAnsi="Times New Roman" w:cs="Times New Roman"/>
          <w:lang w:val="en-GB"/>
        </w:rPr>
        <w:t xml:space="preserve">, IL-4 (Th2), and IL-17 (Th17) secreted into the cell culture media assessed. </w:t>
      </w:r>
      <w:r w:rsidRPr="00151504">
        <w:rPr>
          <w:rFonts w:ascii="Times New Roman" w:eastAsia="Times New Roman" w:hAnsi="Times New Roman" w:cs="Times New Roman"/>
          <w:lang w:eastAsia="en-GB"/>
        </w:rPr>
        <w:t>Error bar graphs represent mean ± SEM. *</w:t>
      </w:r>
      <w:r w:rsidRPr="00151504">
        <w:rPr>
          <w:rFonts w:ascii="Times New Roman" w:eastAsia="Times New Roman" w:hAnsi="Times New Roman" w:cs="Times New Roman"/>
          <w:i/>
          <w:lang w:eastAsia="en-GB"/>
        </w:rPr>
        <w:t>P</w:t>
      </w:r>
      <w:r w:rsidRPr="00151504">
        <w:rPr>
          <w:rFonts w:ascii="Times New Roman" w:eastAsia="Times New Roman" w:hAnsi="Times New Roman" w:cs="Times New Roman"/>
          <w:lang w:eastAsia="en-GB"/>
        </w:rPr>
        <w:t xml:space="preserve"> &lt;0.05,</w:t>
      </w:r>
      <w:r>
        <w:rPr>
          <w:rFonts w:ascii="Times New Roman" w:hAnsi="Times New Roman" w:cs="Times New Roman"/>
          <w:lang w:val="en-GB"/>
        </w:rPr>
        <w:t xml:space="preserve"> </w:t>
      </w:r>
      <w:r w:rsidRPr="00151504">
        <w:rPr>
          <w:rFonts w:ascii="Times New Roman" w:eastAsia="Times New Roman" w:hAnsi="Times New Roman" w:cs="Times New Roman"/>
          <w:lang w:eastAsia="en-GB"/>
        </w:rPr>
        <w:t>**</w:t>
      </w:r>
      <w:r w:rsidRPr="00151504">
        <w:rPr>
          <w:rFonts w:ascii="Times New Roman" w:eastAsia="Times New Roman" w:hAnsi="Times New Roman" w:cs="Times New Roman"/>
          <w:i/>
          <w:lang w:eastAsia="en-GB"/>
        </w:rPr>
        <w:t>P</w:t>
      </w:r>
      <w:r w:rsidRPr="00151504">
        <w:rPr>
          <w:rFonts w:ascii="Times New Roman" w:eastAsia="Times New Roman" w:hAnsi="Times New Roman" w:cs="Times New Roman"/>
          <w:lang w:eastAsia="en-GB"/>
        </w:rPr>
        <w:t xml:space="preserve"> &lt;0.01, ***</w:t>
      </w:r>
      <w:r w:rsidRPr="00151504">
        <w:rPr>
          <w:rFonts w:ascii="Times New Roman" w:eastAsia="Times New Roman" w:hAnsi="Times New Roman" w:cs="Times New Roman"/>
          <w:i/>
          <w:lang w:eastAsia="en-GB"/>
        </w:rPr>
        <w:t>P</w:t>
      </w:r>
      <w:r>
        <w:rPr>
          <w:rFonts w:ascii="Times New Roman" w:eastAsia="Times New Roman" w:hAnsi="Times New Roman" w:cs="Times New Roman"/>
          <w:lang w:eastAsia="en-GB"/>
        </w:rPr>
        <w:t xml:space="preserve"> &lt;0.001; ns, not significant. </w:t>
      </w:r>
    </w:p>
    <w:p w14:paraId="76918DC9" w14:textId="1908FE73" w:rsidR="00104AA6" w:rsidRDefault="00104AA6" w:rsidP="00104AA6">
      <w:pPr>
        <w:ind w:left="1440"/>
        <w:rPr>
          <w:rFonts w:ascii="Arial" w:hAnsi="Arial" w:cs="Arial"/>
          <w:b/>
        </w:rPr>
      </w:pPr>
    </w:p>
    <w:p w14:paraId="5191E83B" w14:textId="5DFF87DC" w:rsidR="006434A9" w:rsidRDefault="006434A9" w:rsidP="00104AA6">
      <w:pPr>
        <w:jc w:val="both"/>
        <w:rPr>
          <w:rFonts w:ascii="Arial" w:hAnsi="Arial" w:cs="Arial"/>
          <w:b/>
        </w:rPr>
      </w:pPr>
    </w:p>
    <w:p w14:paraId="2F0BFA95" w14:textId="79990309" w:rsidR="005547EF" w:rsidRDefault="005547EF" w:rsidP="00104AA6">
      <w:pPr>
        <w:jc w:val="both"/>
        <w:rPr>
          <w:rFonts w:ascii="Arial" w:hAnsi="Arial" w:cs="Arial"/>
          <w:b/>
        </w:rPr>
      </w:pPr>
    </w:p>
    <w:p w14:paraId="7E167976" w14:textId="3F3E942F" w:rsidR="005547EF" w:rsidRDefault="005547EF" w:rsidP="00104AA6">
      <w:pPr>
        <w:jc w:val="both"/>
        <w:rPr>
          <w:rFonts w:ascii="Arial" w:hAnsi="Arial" w:cs="Arial"/>
          <w:b/>
        </w:rPr>
      </w:pPr>
    </w:p>
    <w:p w14:paraId="5EC7B3B4" w14:textId="2E45D80F" w:rsidR="005547EF" w:rsidRDefault="005547EF" w:rsidP="00104AA6">
      <w:pPr>
        <w:jc w:val="both"/>
        <w:rPr>
          <w:rFonts w:ascii="Arial" w:hAnsi="Arial" w:cs="Arial"/>
          <w:b/>
        </w:rPr>
      </w:pPr>
    </w:p>
    <w:p w14:paraId="487E7EDB" w14:textId="37D5755F" w:rsidR="005547EF" w:rsidRDefault="005547EF" w:rsidP="00104AA6">
      <w:pPr>
        <w:jc w:val="both"/>
        <w:rPr>
          <w:rFonts w:ascii="Arial" w:hAnsi="Arial" w:cs="Arial"/>
          <w:b/>
        </w:rPr>
      </w:pPr>
    </w:p>
    <w:p w14:paraId="130480E0" w14:textId="2ED0D02B" w:rsidR="005547EF" w:rsidRDefault="005547EF" w:rsidP="00104AA6">
      <w:pPr>
        <w:jc w:val="both"/>
        <w:rPr>
          <w:rFonts w:ascii="Arial" w:hAnsi="Arial" w:cs="Arial"/>
          <w:b/>
        </w:rPr>
      </w:pPr>
    </w:p>
    <w:p w14:paraId="1BCEBD57" w14:textId="65428387" w:rsidR="005547EF" w:rsidRDefault="005547EF" w:rsidP="00104AA6">
      <w:pPr>
        <w:jc w:val="both"/>
        <w:rPr>
          <w:rFonts w:ascii="Arial" w:hAnsi="Arial" w:cs="Arial"/>
          <w:b/>
        </w:rPr>
      </w:pPr>
    </w:p>
    <w:p w14:paraId="43BCB27A" w14:textId="3917C365" w:rsidR="005547EF" w:rsidRDefault="005547EF" w:rsidP="00104AA6">
      <w:pPr>
        <w:jc w:val="both"/>
        <w:rPr>
          <w:rFonts w:ascii="Arial" w:hAnsi="Arial" w:cs="Arial"/>
          <w:b/>
        </w:rPr>
      </w:pPr>
    </w:p>
    <w:p w14:paraId="5FAFC1B2" w14:textId="74A6B8DB" w:rsidR="005547EF" w:rsidRDefault="005547EF" w:rsidP="00104AA6">
      <w:pPr>
        <w:jc w:val="both"/>
        <w:rPr>
          <w:rFonts w:ascii="Arial" w:hAnsi="Arial" w:cs="Arial"/>
          <w:b/>
        </w:rPr>
      </w:pPr>
    </w:p>
    <w:p w14:paraId="3B0E98AE" w14:textId="3A040D13" w:rsidR="005547EF" w:rsidRDefault="005547EF" w:rsidP="00104AA6">
      <w:pPr>
        <w:jc w:val="both"/>
        <w:rPr>
          <w:rFonts w:ascii="Arial" w:hAnsi="Arial" w:cs="Arial"/>
          <w:b/>
        </w:rPr>
      </w:pPr>
    </w:p>
    <w:p w14:paraId="48765EC7" w14:textId="001EE013" w:rsidR="005547EF" w:rsidRDefault="005547EF" w:rsidP="00104AA6">
      <w:pPr>
        <w:jc w:val="both"/>
        <w:rPr>
          <w:rFonts w:ascii="Arial" w:hAnsi="Arial" w:cs="Arial"/>
          <w:b/>
        </w:rPr>
      </w:pPr>
    </w:p>
    <w:p w14:paraId="3B86DBF8" w14:textId="3FB1933C" w:rsidR="005547EF" w:rsidRDefault="005547EF" w:rsidP="00104AA6">
      <w:pPr>
        <w:jc w:val="both"/>
        <w:rPr>
          <w:rFonts w:ascii="Arial" w:hAnsi="Arial" w:cs="Arial"/>
          <w:b/>
        </w:rPr>
      </w:pPr>
    </w:p>
    <w:p w14:paraId="1A6A3A5E" w14:textId="784DEC41" w:rsidR="005547EF" w:rsidRDefault="005547EF" w:rsidP="00104AA6">
      <w:pPr>
        <w:jc w:val="both"/>
        <w:rPr>
          <w:rFonts w:ascii="Arial" w:hAnsi="Arial" w:cs="Arial"/>
          <w:b/>
        </w:rPr>
      </w:pPr>
    </w:p>
    <w:p w14:paraId="606D7E16" w14:textId="638AF139" w:rsidR="005547EF" w:rsidRDefault="005547EF" w:rsidP="00104AA6">
      <w:pPr>
        <w:jc w:val="both"/>
        <w:rPr>
          <w:rFonts w:ascii="Arial" w:hAnsi="Arial" w:cs="Arial"/>
          <w:b/>
        </w:rPr>
      </w:pPr>
    </w:p>
    <w:p w14:paraId="645512BD" w14:textId="2EBCC03E" w:rsidR="005547EF" w:rsidRDefault="005547EF" w:rsidP="00104AA6">
      <w:pPr>
        <w:jc w:val="both"/>
        <w:rPr>
          <w:rFonts w:ascii="Arial" w:hAnsi="Arial" w:cs="Arial"/>
          <w:b/>
        </w:rPr>
      </w:pPr>
    </w:p>
    <w:p w14:paraId="1A27CD5D" w14:textId="03FE1D2A" w:rsidR="005547EF" w:rsidRDefault="005547EF" w:rsidP="00104AA6">
      <w:pPr>
        <w:jc w:val="both"/>
        <w:rPr>
          <w:rFonts w:ascii="Arial" w:hAnsi="Arial" w:cs="Arial"/>
          <w:b/>
        </w:rPr>
      </w:pPr>
    </w:p>
    <w:p w14:paraId="46B18676" w14:textId="23802B2B" w:rsidR="005547EF" w:rsidRDefault="005547EF" w:rsidP="00104AA6">
      <w:pPr>
        <w:jc w:val="both"/>
        <w:rPr>
          <w:rFonts w:ascii="Arial" w:hAnsi="Arial" w:cs="Arial"/>
          <w:b/>
        </w:rPr>
      </w:pPr>
    </w:p>
    <w:p w14:paraId="0704E359" w14:textId="61926ED3" w:rsidR="005547EF" w:rsidRDefault="005547EF" w:rsidP="00104AA6">
      <w:pPr>
        <w:jc w:val="both"/>
        <w:rPr>
          <w:rFonts w:ascii="Arial" w:hAnsi="Arial" w:cs="Arial"/>
          <w:b/>
        </w:rPr>
      </w:pPr>
    </w:p>
    <w:p w14:paraId="49B275E9" w14:textId="5E623CA4" w:rsidR="005547EF" w:rsidRDefault="005547EF" w:rsidP="00104AA6">
      <w:pPr>
        <w:jc w:val="both"/>
        <w:rPr>
          <w:rFonts w:ascii="Arial" w:hAnsi="Arial" w:cs="Arial"/>
          <w:b/>
        </w:rPr>
      </w:pPr>
    </w:p>
    <w:p w14:paraId="79BD46FA" w14:textId="6D58D822" w:rsidR="005547EF" w:rsidRDefault="005547EF" w:rsidP="00104AA6">
      <w:pPr>
        <w:jc w:val="both"/>
        <w:rPr>
          <w:rFonts w:ascii="Arial" w:hAnsi="Arial" w:cs="Arial"/>
          <w:b/>
        </w:rPr>
      </w:pPr>
    </w:p>
    <w:p w14:paraId="04687F2D" w14:textId="37E38756" w:rsidR="005547EF" w:rsidRDefault="005547EF" w:rsidP="00104AA6">
      <w:pPr>
        <w:jc w:val="both"/>
        <w:rPr>
          <w:rFonts w:ascii="Arial" w:hAnsi="Arial" w:cs="Arial"/>
          <w:b/>
        </w:rPr>
      </w:pPr>
    </w:p>
    <w:p w14:paraId="2ECBCB9B" w14:textId="5B4EB939" w:rsidR="005547EF" w:rsidRDefault="005547EF" w:rsidP="00104AA6">
      <w:pPr>
        <w:jc w:val="both"/>
        <w:rPr>
          <w:rFonts w:ascii="Arial" w:hAnsi="Arial" w:cs="Arial"/>
          <w:b/>
        </w:rPr>
      </w:pPr>
    </w:p>
    <w:p w14:paraId="76249738" w14:textId="74CA458A" w:rsidR="005547EF" w:rsidRDefault="005547EF" w:rsidP="00104AA6">
      <w:pPr>
        <w:jc w:val="both"/>
        <w:rPr>
          <w:rFonts w:ascii="Arial" w:hAnsi="Arial" w:cs="Arial"/>
          <w:b/>
        </w:rPr>
      </w:pPr>
    </w:p>
    <w:p w14:paraId="0EDAA543" w14:textId="7502C4FE" w:rsidR="005547EF" w:rsidRDefault="005547EF" w:rsidP="00104AA6">
      <w:pPr>
        <w:jc w:val="both"/>
        <w:rPr>
          <w:rFonts w:ascii="Arial" w:hAnsi="Arial" w:cs="Arial"/>
          <w:b/>
        </w:rPr>
      </w:pPr>
    </w:p>
    <w:p w14:paraId="278207F1" w14:textId="77777777" w:rsidR="004F51DA" w:rsidRDefault="004F51DA" w:rsidP="005547EF">
      <w:pPr>
        <w:jc w:val="both"/>
        <w:rPr>
          <w:rFonts w:ascii="Arial" w:hAnsi="Arial" w:cs="Arial"/>
          <w:b/>
        </w:rPr>
      </w:pPr>
    </w:p>
    <w:p w14:paraId="270DF84A" w14:textId="427777FA" w:rsidR="00DE66EF" w:rsidRDefault="005547EF" w:rsidP="005547EF">
      <w:pPr>
        <w:jc w:val="both"/>
        <w:rPr>
          <w:rFonts w:ascii="Arial" w:hAnsi="Arial" w:cs="Arial"/>
          <w:b/>
          <w:bCs/>
          <w:color w:val="000000"/>
        </w:rPr>
      </w:pPr>
      <w:r w:rsidRPr="005547EF">
        <w:rPr>
          <w:rFonts w:ascii="Arial" w:hAnsi="Arial" w:cs="Arial"/>
          <w:b/>
        </w:rPr>
        <w:lastRenderedPageBreak/>
        <w:t xml:space="preserve">Supplementary Figure 2: </w:t>
      </w:r>
      <w:r>
        <w:rPr>
          <w:rFonts w:ascii="Arial" w:hAnsi="Arial" w:cs="Arial"/>
          <w:b/>
          <w:bCs/>
          <w:color w:val="000000"/>
        </w:rPr>
        <w:t>AEP activity drives c</w:t>
      </w:r>
      <w:r w:rsidRPr="005547EF">
        <w:rPr>
          <w:rFonts w:ascii="Arial" w:hAnsi="Arial" w:cs="Arial"/>
          <w:b/>
          <w:bCs/>
          <w:color w:val="000000"/>
        </w:rPr>
        <w:t>athepsin L-mediated C3 activation in human CD4</w:t>
      </w:r>
      <w:r w:rsidRPr="005547EF">
        <w:rPr>
          <w:rFonts w:ascii="Arial" w:hAnsi="Arial" w:cs="Arial"/>
          <w:b/>
          <w:bCs/>
          <w:color w:val="000000"/>
          <w:vertAlign w:val="superscript"/>
        </w:rPr>
        <w:t>+</w:t>
      </w:r>
      <w:r w:rsidRPr="005547EF">
        <w:rPr>
          <w:rFonts w:ascii="Arial" w:hAnsi="Arial" w:cs="Arial"/>
          <w:b/>
          <w:bCs/>
          <w:color w:val="000000"/>
        </w:rPr>
        <w:t xml:space="preserve"> T cells.</w:t>
      </w:r>
    </w:p>
    <w:p w14:paraId="7C4279F9" w14:textId="1D4E4297" w:rsidR="004F51DA" w:rsidRDefault="004F51DA" w:rsidP="005547EF">
      <w:pPr>
        <w:jc w:val="both"/>
        <w:rPr>
          <w:rFonts w:ascii="Arial" w:hAnsi="Arial" w:cs="Arial"/>
          <w:b/>
          <w:bCs/>
          <w:color w:val="000000"/>
        </w:rPr>
      </w:pPr>
    </w:p>
    <w:p w14:paraId="5E5D5B84" w14:textId="77777777" w:rsidR="004F51DA" w:rsidRPr="004F51DA" w:rsidRDefault="004F51DA" w:rsidP="005547EF">
      <w:pPr>
        <w:jc w:val="both"/>
        <w:rPr>
          <w:rFonts w:ascii="Arial" w:hAnsi="Arial" w:cs="Arial"/>
          <w:b/>
          <w:bCs/>
          <w:color w:val="000000"/>
        </w:rPr>
      </w:pPr>
    </w:p>
    <w:p w14:paraId="379F9BB8" w14:textId="3ABF9B5F" w:rsidR="004F51DA" w:rsidRPr="005547EF" w:rsidRDefault="004F51DA" w:rsidP="00104AA6">
      <w:pPr>
        <w:jc w:val="both"/>
        <w:rPr>
          <w:rFonts w:ascii="Arial" w:hAnsi="Arial" w:cs="Arial"/>
          <w:b/>
        </w:rPr>
      </w:pPr>
      <w:r w:rsidRPr="004F51DA">
        <w:rPr>
          <w:rFonts w:ascii="Arial" w:hAnsi="Arial" w:cs="Arial"/>
          <w:b/>
          <w:noProof/>
        </w:rPr>
        <w:drawing>
          <wp:inline distT="0" distB="0" distL="0" distR="0" wp14:anchorId="5F19476E" wp14:editId="26F771BA">
            <wp:extent cx="5545923" cy="751247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51593" cy="7520155"/>
                    </a:xfrm>
                    <a:prstGeom prst="rect">
                      <a:avLst/>
                    </a:prstGeom>
                  </pic:spPr>
                </pic:pic>
              </a:graphicData>
            </a:graphic>
          </wp:inline>
        </w:drawing>
      </w:r>
    </w:p>
    <w:p w14:paraId="3ABC64BF" w14:textId="4E058900" w:rsidR="005547EF" w:rsidRPr="004F51DA" w:rsidRDefault="005547EF" w:rsidP="00660998">
      <w:pPr>
        <w:autoSpaceDE w:val="0"/>
        <w:autoSpaceDN w:val="0"/>
        <w:adjustRightInd w:val="0"/>
        <w:jc w:val="both"/>
        <w:rPr>
          <w:rFonts w:ascii="Times New Roman" w:hAnsi="Times New Roman" w:cs="Times New Roman"/>
          <w:lang w:val="en-GB"/>
        </w:rPr>
      </w:pPr>
      <w:r>
        <w:rPr>
          <w:rFonts w:ascii="Times New Roman" w:hAnsi="Times New Roman" w:cs="Times New Roman"/>
          <w:b/>
          <w:bCs/>
          <w:color w:val="000000"/>
        </w:rPr>
        <w:lastRenderedPageBreak/>
        <w:t>Supplementary Figure 2. AEP activity drives c</w:t>
      </w:r>
      <w:r w:rsidRPr="00B15FB7">
        <w:rPr>
          <w:rFonts w:ascii="Times New Roman" w:hAnsi="Times New Roman" w:cs="Times New Roman"/>
          <w:b/>
          <w:bCs/>
          <w:color w:val="000000"/>
        </w:rPr>
        <w:t>athepsin L-mediated C3 activation in human CD4</w:t>
      </w:r>
      <w:r w:rsidRPr="00B15FB7">
        <w:rPr>
          <w:rFonts w:ascii="Times New Roman" w:hAnsi="Times New Roman" w:cs="Times New Roman"/>
          <w:b/>
          <w:bCs/>
          <w:color w:val="000000"/>
          <w:vertAlign w:val="superscript"/>
        </w:rPr>
        <w:t>+</w:t>
      </w:r>
      <w:r w:rsidRPr="00B15FB7">
        <w:rPr>
          <w:rFonts w:ascii="Times New Roman" w:hAnsi="Times New Roman" w:cs="Times New Roman"/>
          <w:b/>
          <w:bCs/>
          <w:color w:val="000000"/>
        </w:rPr>
        <w:t xml:space="preserve"> T cells</w:t>
      </w:r>
      <w:r>
        <w:rPr>
          <w:rFonts w:ascii="Times New Roman" w:hAnsi="Times New Roman" w:cs="Times New Roman"/>
          <w:b/>
          <w:bCs/>
          <w:color w:val="000000"/>
        </w:rPr>
        <w:t xml:space="preserve">. (A) </w:t>
      </w:r>
      <w:r>
        <w:rPr>
          <w:rFonts w:ascii="Times New Roman" w:hAnsi="Times New Roman" w:cs="Times New Roman"/>
          <w:lang w:val="en-GB"/>
        </w:rPr>
        <w:t>Schematic</w:t>
      </w:r>
      <w:r w:rsidRPr="00CD64FC">
        <w:rPr>
          <w:rFonts w:ascii="Times New Roman" w:hAnsi="Times New Roman" w:cs="Times New Roman"/>
          <w:lang w:val="en-GB"/>
        </w:rPr>
        <w:t xml:space="preserve"> representing the intracellular </w:t>
      </w:r>
      <w:r>
        <w:rPr>
          <w:rFonts w:ascii="Times New Roman" w:hAnsi="Times New Roman" w:cs="Times New Roman"/>
          <w:lang w:val="en-GB"/>
        </w:rPr>
        <w:t>cathepsin L (</w:t>
      </w:r>
      <w:r w:rsidRPr="00CD64FC">
        <w:rPr>
          <w:rFonts w:ascii="Times New Roman" w:hAnsi="Times New Roman" w:cs="Times New Roman"/>
          <w:lang w:val="en-GB"/>
        </w:rPr>
        <w:t>CTSL</w:t>
      </w:r>
      <w:r>
        <w:rPr>
          <w:rFonts w:ascii="Times New Roman" w:hAnsi="Times New Roman" w:cs="Times New Roman"/>
          <w:lang w:val="en-GB"/>
        </w:rPr>
        <w:t>)-mediated C3 activation</w:t>
      </w:r>
      <w:r w:rsidRPr="00CD64FC">
        <w:rPr>
          <w:rFonts w:ascii="Times New Roman" w:hAnsi="Times New Roman" w:cs="Times New Roman"/>
          <w:lang w:val="en-GB"/>
        </w:rPr>
        <w:t xml:space="preserve"> </w:t>
      </w:r>
      <w:r>
        <w:rPr>
          <w:rFonts w:ascii="Times New Roman" w:hAnsi="Times New Roman" w:cs="Times New Roman"/>
          <w:lang w:val="en-GB"/>
        </w:rPr>
        <w:t>‘</w:t>
      </w:r>
      <w:r w:rsidRPr="00CD64FC">
        <w:rPr>
          <w:rFonts w:ascii="Times New Roman" w:hAnsi="Times New Roman" w:cs="Times New Roman"/>
          <w:lang w:val="en-GB"/>
        </w:rPr>
        <w:t>pathway</w:t>
      </w:r>
      <w:r>
        <w:rPr>
          <w:rFonts w:ascii="Times New Roman" w:hAnsi="Times New Roman" w:cs="Times New Roman"/>
          <w:lang w:val="en-GB"/>
        </w:rPr>
        <w:t>’</w:t>
      </w:r>
      <w:r w:rsidRPr="00CD64FC">
        <w:rPr>
          <w:rFonts w:ascii="Times New Roman" w:hAnsi="Times New Roman" w:cs="Times New Roman"/>
          <w:lang w:val="en-GB"/>
        </w:rPr>
        <w:t>. In resting CD4</w:t>
      </w:r>
      <w:r w:rsidRPr="00CD64FC">
        <w:rPr>
          <w:rFonts w:ascii="Times New Roman" w:hAnsi="Times New Roman" w:cs="Times New Roman"/>
          <w:vertAlign w:val="superscript"/>
          <w:lang w:val="en-GB"/>
        </w:rPr>
        <w:t>+</w:t>
      </w:r>
      <w:r w:rsidRPr="00CD64FC">
        <w:rPr>
          <w:rFonts w:ascii="Times New Roman" w:hAnsi="Times New Roman" w:cs="Times New Roman"/>
          <w:lang w:val="en-GB"/>
        </w:rPr>
        <w:t xml:space="preserve"> T cells (left panel), CTSL cleaves complement C3 intracellularly </w:t>
      </w:r>
      <w:proofErr w:type="spellStart"/>
      <w:r>
        <w:rPr>
          <w:rFonts w:ascii="Times New Roman" w:hAnsi="Times New Roman" w:cs="Times New Roman"/>
          <w:lang w:val="en-GB"/>
        </w:rPr>
        <w:t>tonicaly</w:t>
      </w:r>
      <w:proofErr w:type="spellEnd"/>
      <w:r w:rsidRPr="00CD64FC">
        <w:rPr>
          <w:rFonts w:ascii="Times New Roman" w:hAnsi="Times New Roman" w:cs="Times New Roman"/>
          <w:lang w:val="en-GB"/>
        </w:rPr>
        <w:t xml:space="preserve"> </w:t>
      </w:r>
      <w:r>
        <w:rPr>
          <w:rFonts w:ascii="Times New Roman" w:hAnsi="Times New Roman" w:cs="Times New Roman"/>
          <w:lang w:val="en-GB"/>
        </w:rPr>
        <w:t>in</w:t>
      </w:r>
      <w:r w:rsidRPr="00CD64FC">
        <w:rPr>
          <w:rFonts w:ascii="Times New Roman" w:hAnsi="Times New Roman" w:cs="Times New Roman"/>
          <w:lang w:val="en-GB"/>
        </w:rPr>
        <w:t xml:space="preserve">to bioactive C3a and C3b. C3a engages with </w:t>
      </w:r>
      <w:r>
        <w:rPr>
          <w:rFonts w:ascii="Times New Roman" w:hAnsi="Times New Roman" w:cs="Times New Roman"/>
          <w:lang w:val="en-GB"/>
        </w:rPr>
        <w:t xml:space="preserve">the </w:t>
      </w:r>
      <w:r w:rsidRPr="00CD64FC">
        <w:rPr>
          <w:rFonts w:ascii="Times New Roman" w:hAnsi="Times New Roman" w:cs="Times New Roman"/>
          <w:lang w:val="en-GB"/>
        </w:rPr>
        <w:t>ly</w:t>
      </w:r>
      <w:r>
        <w:rPr>
          <w:rFonts w:ascii="Times New Roman" w:hAnsi="Times New Roman" w:cs="Times New Roman"/>
          <w:lang w:val="en-GB"/>
        </w:rPr>
        <w:t>sosome</w:t>
      </w:r>
      <w:r w:rsidRPr="00CD64FC">
        <w:rPr>
          <w:rFonts w:ascii="Times New Roman" w:hAnsi="Times New Roman" w:cs="Times New Roman"/>
          <w:lang w:val="en-GB"/>
        </w:rPr>
        <w:t xml:space="preserve">-located C3aR which </w:t>
      </w:r>
      <w:r>
        <w:rPr>
          <w:rFonts w:ascii="Times New Roman" w:hAnsi="Times New Roman" w:cs="Times New Roman"/>
          <w:lang w:val="en-GB"/>
        </w:rPr>
        <w:t xml:space="preserve">in turn </w:t>
      </w:r>
      <w:r w:rsidRPr="00CD64FC">
        <w:rPr>
          <w:rFonts w:ascii="Times New Roman" w:hAnsi="Times New Roman" w:cs="Times New Roman"/>
          <w:lang w:val="en-GB"/>
        </w:rPr>
        <w:t xml:space="preserve">activates the mammalian target of rapamycin (mTOR) in a process that sustains T cell homeostasis. Right panel, upon </w:t>
      </w:r>
      <w:r>
        <w:rPr>
          <w:rFonts w:ascii="Times New Roman" w:hAnsi="Times New Roman" w:cs="Times New Roman"/>
          <w:lang w:val="en-GB"/>
        </w:rPr>
        <w:t>T cell receptor (</w:t>
      </w:r>
      <w:r w:rsidRPr="00CD64FC">
        <w:rPr>
          <w:rFonts w:ascii="Times New Roman" w:hAnsi="Times New Roman" w:cs="Times New Roman"/>
          <w:lang w:val="en-GB"/>
        </w:rPr>
        <w:t>TCR</w:t>
      </w:r>
      <w:r>
        <w:rPr>
          <w:rFonts w:ascii="Times New Roman" w:hAnsi="Times New Roman" w:cs="Times New Roman"/>
          <w:lang w:val="en-GB"/>
        </w:rPr>
        <w:t>)</w:t>
      </w:r>
      <w:r w:rsidRPr="00CD64FC">
        <w:rPr>
          <w:rFonts w:ascii="Times New Roman" w:hAnsi="Times New Roman" w:cs="Times New Roman"/>
          <w:lang w:val="en-GB"/>
        </w:rPr>
        <w:t xml:space="preserve"> stimulation the </w:t>
      </w:r>
      <w:r>
        <w:rPr>
          <w:rFonts w:ascii="Times New Roman" w:hAnsi="Times New Roman" w:cs="Times New Roman"/>
          <w:lang w:val="en-GB"/>
        </w:rPr>
        <w:t>‘CTSL-C3a-</w:t>
      </w:r>
      <w:r w:rsidRPr="00CD64FC">
        <w:rPr>
          <w:rFonts w:ascii="Times New Roman" w:hAnsi="Times New Roman" w:cs="Times New Roman"/>
          <w:lang w:val="en-GB"/>
        </w:rPr>
        <w:t>C3aR</w:t>
      </w:r>
      <w:r>
        <w:rPr>
          <w:rFonts w:ascii="Times New Roman" w:hAnsi="Times New Roman" w:cs="Times New Roman"/>
          <w:lang w:val="en-GB"/>
        </w:rPr>
        <w:t>’</w:t>
      </w:r>
      <w:r w:rsidRPr="00CD64FC">
        <w:rPr>
          <w:rFonts w:ascii="Times New Roman" w:hAnsi="Times New Roman" w:cs="Times New Roman"/>
          <w:lang w:val="en-GB"/>
        </w:rPr>
        <w:t xml:space="preserve"> system rapidly </w:t>
      </w:r>
      <w:proofErr w:type="spellStart"/>
      <w:r w:rsidRPr="00CD64FC">
        <w:rPr>
          <w:rFonts w:ascii="Times New Roman" w:hAnsi="Times New Roman" w:cs="Times New Roman"/>
          <w:lang w:val="en-GB"/>
        </w:rPr>
        <w:t>translocates</w:t>
      </w:r>
      <w:proofErr w:type="spellEnd"/>
      <w:r w:rsidRPr="00CD64FC">
        <w:rPr>
          <w:rFonts w:ascii="Times New Roman" w:hAnsi="Times New Roman" w:cs="Times New Roman"/>
          <w:lang w:val="en-GB"/>
        </w:rPr>
        <w:t xml:space="preserve"> to the c</w:t>
      </w:r>
      <w:r>
        <w:rPr>
          <w:rFonts w:ascii="Times New Roman" w:hAnsi="Times New Roman" w:cs="Times New Roman"/>
          <w:lang w:val="en-GB"/>
        </w:rPr>
        <w:t xml:space="preserve">ell surface where </w:t>
      </w:r>
      <w:r w:rsidRPr="00CD64FC">
        <w:rPr>
          <w:rFonts w:ascii="Times New Roman" w:hAnsi="Times New Roman" w:cs="Times New Roman"/>
          <w:lang w:val="en-GB"/>
        </w:rPr>
        <w:t>C3a and C3b eng</w:t>
      </w:r>
      <w:r>
        <w:rPr>
          <w:rFonts w:ascii="Times New Roman" w:hAnsi="Times New Roman" w:cs="Times New Roman"/>
          <w:lang w:val="en-GB"/>
        </w:rPr>
        <w:t>age their respective receptors, C3aR and CD46, respectively. T</w:t>
      </w:r>
      <w:r w:rsidRPr="00CD64FC">
        <w:rPr>
          <w:rFonts w:ascii="Times New Roman" w:hAnsi="Times New Roman" w:cs="Times New Roman"/>
          <w:lang w:val="en-GB"/>
        </w:rPr>
        <w:t>ogether these</w:t>
      </w:r>
      <w:r w:rsidRPr="00CD64FC">
        <w:rPr>
          <w:rFonts w:ascii="Times New Roman" w:hAnsi="Times New Roman" w:cs="Times New Roman"/>
          <w:lang w:val="bg-BG"/>
        </w:rPr>
        <w:t xml:space="preserve"> </w:t>
      </w:r>
      <w:r w:rsidRPr="00CD64FC">
        <w:rPr>
          <w:rFonts w:ascii="Times New Roman" w:hAnsi="Times New Roman" w:cs="Times New Roman"/>
          <w:lang w:val="en-GB"/>
        </w:rPr>
        <w:t xml:space="preserve">receptors </w:t>
      </w:r>
      <w:r>
        <w:rPr>
          <w:rFonts w:ascii="Times New Roman" w:hAnsi="Times New Roman" w:cs="Times New Roman"/>
          <w:lang w:val="en-GB"/>
        </w:rPr>
        <w:t xml:space="preserve">induce </w:t>
      </w:r>
      <w:r w:rsidRPr="00CD64FC">
        <w:rPr>
          <w:rFonts w:ascii="Times New Roman" w:hAnsi="Times New Roman" w:cs="Times New Roman"/>
          <w:lang w:val="en-GB"/>
        </w:rPr>
        <w:t>signal</w:t>
      </w:r>
      <w:r>
        <w:rPr>
          <w:rFonts w:ascii="Times New Roman" w:hAnsi="Times New Roman" w:cs="Times New Roman"/>
          <w:lang w:val="en-GB"/>
        </w:rPr>
        <w:t>s</w:t>
      </w:r>
      <w:r w:rsidRPr="00CD64FC">
        <w:rPr>
          <w:rFonts w:ascii="Times New Roman" w:hAnsi="Times New Roman" w:cs="Times New Roman"/>
          <w:lang w:val="en-GB"/>
        </w:rPr>
        <w:t xml:space="preserve"> to metabolically reprogram the cell </w:t>
      </w:r>
      <w:r>
        <w:rPr>
          <w:rFonts w:ascii="Times New Roman" w:hAnsi="Times New Roman" w:cs="Times New Roman"/>
          <w:lang w:val="en-GB"/>
        </w:rPr>
        <w:t>required for</w:t>
      </w:r>
      <w:r w:rsidRPr="00CD64FC">
        <w:rPr>
          <w:rFonts w:ascii="Times New Roman" w:hAnsi="Times New Roman" w:cs="Times New Roman"/>
          <w:lang w:val="en-GB"/>
        </w:rPr>
        <w:t xml:space="preserve"> productive Th1 response</w:t>
      </w:r>
      <w:r>
        <w:rPr>
          <w:rFonts w:ascii="Times New Roman" w:hAnsi="Times New Roman" w:cs="Times New Roman"/>
          <w:lang w:val="en-GB"/>
        </w:rPr>
        <w:t>s</w:t>
      </w:r>
      <w:r w:rsidRPr="00CD64FC">
        <w:rPr>
          <w:rFonts w:ascii="Times New Roman" w:hAnsi="Times New Roman" w:cs="Times New Roman"/>
          <w:lang w:val="en-GB"/>
        </w:rPr>
        <w:t xml:space="preserve"> manifested by IFN-γ secretion. </w:t>
      </w:r>
      <w:r w:rsidRPr="00CD64FC">
        <w:rPr>
          <w:rFonts w:ascii="Times New Roman" w:hAnsi="Times New Roman" w:cs="Times New Roman"/>
          <w:b/>
          <w:lang w:val="en-GB"/>
        </w:rPr>
        <w:t>(B)</w:t>
      </w:r>
      <w:r w:rsidRPr="00CD64FC">
        <w:rPr>
          <w:rFonts w:ascii="Times New Roman" w:hAnsi="Times New Roman" w:cs="Times New Roman"/>
          <w:lang w:val="en-GB"/>
        </w:rPr>
        <w:t xml:space="preserve"> </w:t>
      </w:r>
      <w:r>
        <w:rPr>
          <w:rFonts w:ascii="Times New Roman" w:hAnsi="Times New Roman" w:cs="Times New Roman"/>
          <w:lang w:val="en-GB"/>
        </w:rPr>
        <w:t>Cartoon depicting AEP-mediated</w:t>
      </w:r>
      <w:r w:rsidRPr="00CD64FC">
        <w:rPr>
          <w:rFonts w:ascii="Times New Roman" w:hAnsi="Times New Roman" w:cs="Times New Roman"/>
          <w:lang w:val="en-GB"/>
        </w:rPr>
        <w:t xml:space="preserve"> CTSL maturation. CTSL is synthesized </w:t>
      </w:r>
      <w:r>
        <w:rPr>
          <w:rFonts w:ascii="Times New Roman" w:hAnsi="Times New Roman" w:cs="Times New Roman"/>
          <w:lang w:val="en-GB"/>
        </w:rPr>
        <w:t xml:space="preserve">within T cells </w:t>
      </w:r>
      <w:r w:rsidRPr="00CD64FC">
        <w:rPr>
          <w:rFonts w:ascii="Times New Roman" w:hAnsi="Times New Roman" w:cs="Times New Roman"/>
          <w:lang w:val="en-GB"/>
        </w:rPr>
        <w:t xml:space="preserve">in </w:t>
      </w:r>
      <w:r>
        <w:rPr>
          <w:rFonts w:ascii="Times New Roman" w:hAnsi="Times New Roman" w:cs="Times New Roman"/>
          <w:lang w:val="en-GB"/>
        </w:rPr>
        <w:t xml:space="preserve">a </w:t>
      </w:r>
      <w:proofErr w:type="spellStart"/>
      <w:r>
        <w:rPr>
          <w:rFonts w:ascii="Times New Roman" w:hAnsi="Times New Roman" w:cs="Times New Roman"/>
          <w:lang w:val="en-GB"/>
        </w:rPr>
        <w:t>preproCTSL</w:t>
      </w:r>
      <w:proofErr w:type="spellEnd"/>
      <w:r>
        <w:rPr>
          <w:rFonts w:ascii="Times New Roman" w:hAnsi="Times New Roman" w:cs="Times New Roman"/>
          <w:lang w:val="en-GB"/>
        </w:rPr>
        <w:t xml:space="preserve"> </w:t>
      </w:r>
      <w:r w:rsidRPr="00CD64FC">
        <w:rPr>
          <w:rFonts w:ascii="Times New Roman" w:hAnsi="Times New Roman" w:cs="Times New Roman"/>
          <w:lang w:val="en-GB"/>
        </w:rPr>
        <w:t xml:space="preserve">form which is cleaved to </w:t>
      </w:r>
      <w:proofErr w:type="spellStart"/>
      <w:r w:rsidRPr="00CD64FC">
        <w:rPr>
          <w:rFonts w:ascii="Times New Roman" w:hAnsi="Times New Roman" w:cs="Times New Roman"/>
          <w:lang w:val="en-GB"/>
        </w:rPr>
        <w:t>proCTSL</w:t>
      </w:r>
      <w:proofErr w:type="spellEnd"/>
      <w:r w:rsidRPr="00CD64FC">
        <w:rPr>
          <w:rFonts w:ascii="Times New Roman" w:hAnsi="Times New Roman" w:cs="Times New Roman"/>
          <w:lang w:val="en-GB"/>
        </w:rPr>
        <w:t xml:space="preserve"> </w:t>
      </w:r>
      <w:r>
        <w:rPr>
          <w:rFonts w:ascii="Times New Roman" w:hAnsi="Times New Roman" w:cs="Times New Roman"/>
          <w:lang w:val="en-GB"/>
        </w:rPr>
        <w:t xml:space="preserve">and </w:t>
      </w:r>
      <w:r w:rsidRPr="00CD64FC">
        <w:rPr>
          <w:rFonts w:ascii="Times New Roman" w:hAnsi="Times New Roman" w:cs="Times New Roman"/>
          <w:lang w:val="en-GB"/>
        </w:rPr>
        <w:t xml:space="preserve">further processed to single-chain CTSL. AEP cleaves the single-chain CSTL to </w:t>
      </w:r>
      <w:r>
        <w:rPr>
          <w:rFonts w:ascii="Times New Roman" w:hAnsi="Times New Roman" w:cs="Times New Roman"/>
          <w:lang w:val="en-GB"/>
        </w:rPr>
        <w:t xml:space="preserve">the </w:t>
      </w:r>
      <w:r w:rsidRPr="00CD64FC">
        <w:rPr>
          <w:rFonts w:ascii="Times New Roman" w:hAnsi="Times New Roman" w:cs="Times New Roman"/>
          <w:lang w:val="en-GB"/>
        </w:rPr>
        <w:t>double-chain CTSL</w:t>
      </w:r>
      <w:r>
        <w:rPr>
          <w:rFonts w:ascii="Times New Roman" w:hAnsi="Times New Roman" w:cs="Times New Roman"/>
          <w:lang w:val="en-GB"/>
        </w:rPr>
        <w:t xml:space="preserve"> form</w:t>
      </w:r>
      <w:r w:rsidRPr="00CD64FC">
        <w:rPr>
          <w:rFonts w:ascii="Times New Roman" w:hAnsi="Times New Roman" w:cs="Times New Roman"/>
          <w:lang w:val="en-GB"/>
        </w:rPr>
        <w:t>.</w:t>
      </w:r>
      <w:r>
        <w:rPr>
          <w:rFonts w:ascii="Times New Roman" w:hAnsi="Times New Roman" w:cs="Times New Roman"/>
          <w:lang w:val="en-GB"/>
        </w:rPr>
        <w:t xml:space="preserve"> (</w:t>
      </w:r>
      <w:r w:rsidRPr="002C6EF0">
        <w:rPr>
          <w:rFonts w:ascii="Times New Roman" w:hAnsi="Times New Roman" w:cs="Times New Roman"/>
          <w:b/>
          <w:lang w:val="en-GB"/>
        </w:rPr>
        <w:t>C</w:t>
      </w:r>
      <w:r>
        <w:rPr>
          <w:rFonts w:ascii="Times New Roman" w:hAnsi="Times New Roman" w:cs="Times New Roman"/>
          <w:lang w:val="en-GB"/>
        </w:rPr>
        <w:t>) AEP inhibition strongly reduces CTSL-driven intracellular C3a generation. Human CD4</w:t>
      </w:r>
      <w:r w:rsidRPr="00E07445">
        <w:rPr>
          <w:rFonts w:ascii="Times New Roman" w:hAnsi="Times New Roman" w:cs="Times New Roman"/>
          <w:vertAlign w:val="superscript"/>
          <w:lang w:val="en-GB"/>
        </w:rPr>
        <w:t>+</w:t>
      </w:r>
      <w:r>
        <w:rPr>
          <w:rFonts w:ascii="Times New Roman" w:hAnsi="Times New Roman" w:cs="Times New Roman"/>
          <w:lang w:val="en-GB"/>
        </w:rPr>
        <w:t xml:space="preserve"> T cells were </w:t>
      </w:r>
      <w:r w:rsidRPr="00E07445">
        <w:rPr>
          <w:rFonts w:ascii="Times New Roman" w:hAnsi="Times New Roman" w:cs="Times New Roman"/>
          <w:lang w:val="en-GB"/>
        </w:rPr>
        <w:t>left non-activated</w:t>
      </w:r>
      <w:r>
        <w:rPr>
          <w:rFonts w:ascii="Times New Roman" w:hAnsi="Times New Roman" w:cs="Times New Roman"/>
          <w:lang w:val="en-GB"/>
        </w:rPr>
        <w:t xml:space="preserve"> (NA) </w:t>
      </w:r>
      <w:r w:rsidRPr="005B7AE3">
        <w:rPr>
          <w:rFonts w:ascii="Times New Roman" w:hAnsi="Times New Roman" w:cs="Times New Roman"/>
          <w:color w:val="000000" w:themeColor="text1"/>
          <w:lang w:val="en-GB"/>
        </w:rPr>
        <w:t xml:space="preserve">or activated with the depicted antibody combinations in the presence or absence of 50 </w:t>
      </w:r>
      <w:proofErr w:type="spellStart"/>
      <w:r w:rsidRPr="005B7AE3">
        <w:rPr>
          <w:rFonts w:ascii="Times New Roman" w:hAnsi="Times New Roman" w:cs="Times New Roman"/>
          <w:color w:val="000000" w:themeColor="text1"/>
          <w:lang w:val="en-GB"/>
        </w:rPr>
        <w:t>mM</w:t>
      </w:r>
      <w:proofErr w:type="spellEnd"/>
      <w:r w:rsidRPr="005B7AE3">
        <w:rPr>
          <w:rFonts w:ascii="Times New Roman" w:hAnsi="Times New Roman" w:cs="Times New Roman"/>
          <w:color w:val="000000" w:themeColor="text1"/>
          <w:lang w:val="en-GB"/>
        </w:rPr>
        <w:t xml:space="preserve"> AEP inhibitor and C3a generation assessed 36 hrs post activation by FACS. Shown is one data set derived from a representative donor. </w:t>
      </w:r>
      <w:r w:rsidR="00DE66EF" w:rsidRPr="005B7AE3">
        <w:rPr>
          <w:rFonts w:ascii="Times New Roman" w:hAnsi="Times New Roman" w:cs="Times New Roman"/>
          <w:color w:val="000000" w:themeColor="text1"/>
          <w:lang w:val="en-GB"/>
        </w:rPr>
        <w:t>(</w:t>
      </w:r>
      <w:r w:rsidR="00DE66EF" w:rsidRPr="005B7AE3">
        <w:rPr>
          <w:rFonts w:ascii="Times New Roman" w:hAnsi="Times New Roman" w:cs="Times New Roman"/>
          <w:b/>
          <w:color w:val="000000" w:themeColor="text1"/>
          <w:lang w:val="en-GB"/>
        </w:rPr>
        <w:t>D</w:t>
      </w:r>
      <w:r w:rsidR="00DE66EF" w:rsidRPr="005B7AE3">
        <w:rPr>
          <w:rFonts w:ascii="Times New Roman" w:hAnsi="Times New Roman" w:cs="Times New Roman"/>
          <w:color w:val="000000" w:themeColor="text1"/>
          <w:lang w:val="en-GB"/>
        </w:rPr>
        <w:t>) AEP inhibition does not affect MHC II upregulation in activated human CD4</w:t>
      </w:r>
      <w:r w:rsidR="00DE66EF" w:rsidRPr="005B7AE3">
        <w:rPr>
          <w:rFonts w:ascii="Times New Roman" w:hAnsi="Times New Roman" w:cs="Times New Roman"/>
          <w:color w:val="000000" w:themeColor="text1"/>
          <w:vertAlign w:val="superscript"/>
          <w:lang w:val="en-GB"/>
        </w:rPr>
        <w:t>+</w:t>
      </w:r>
      <w:r w:rsidR="00DE66EF" w:rsidRPr="005B7AE3">
        <w:rPr>
          <w:rFonts w:ascii="Times New Roman" w:hAnsi="Times New Roman" w:cs="Times New Roman"/>
          <w:color w:val="000000" w:themeColor="text1"/>
          <w:lang w:val="en-GB"/>
        </w:rPr>
        <w:t xml:space="preserve"> T cells. Purified T cells were activated as depicted and MHC II expression measured by FACS analysis 36 hrs post activation. (</w:t>
      </w:r>
      <w:r w:rsidR="00DE66EF" w:rsidRPr="005B7AE3">
        <w:rPr>
          <w:rFonts w:ascii="Times New Roman" w:hAnsi="Times New Roman" w:cs="Times New Roman"/>
          <w:b/>
          <w:color w:val="000000" w:themeColor="text1"/>
          <w:lang w:val="en-GB"/>
        </w:rPr>
        <w:t>Di</w:t>
      </w:r>
      <w:r w:rsidR="00DE66EF" w:rsidRPr="005B7AE3">
        <w:rPr>
          <w:rFonts w:ascii="Times New Roman" w:hAnsi="Times New Roman" w:cs="Times New Roman"/>
          <w:color w:val="000000" w:themeColor="text1"/>
          <w:lang w:val="en-GB"/>
        </w:rPr>
        <w:t>) shows a representative FACS plot from one experiment, whilst (</w:t>
      </w:r>
      <w:proofErr w:type="spellStart"/>
      <w:r w:rsidR="00DE66EF" w:rsidRPr="005B7AE3">
        <w:rPr>
          <w:rFonts w:ascii="Times New Roman" w:hAnsi="Times New Roman" w:cs="Times New Roman"/>
          <w:b/>
          <w:color w:val="000000" w:themeColor="text1"/>
          <w:lang w:val="en-GB"/>
        </w:rPr>
        <w:t>Dii</w:t>
      </w:r>
      <w:proofErr w:type="spellEnd"/>
      <w:r w:rsidR="00DE66EF" w:rsidRPr="005B7AE3">
        <w:rPr>
          <w:rFonts w:ascii="Times New Roman" w:hAnsi="Times New Roman" w:cs="Times New Roman"/>
          <w:color w:val="000000" w:themeColor="text1"/>
          <w:lang w:val="en-GB"/>
        </w:rPr>
        <w:t>) shows the statistical analysis performed using three distinct experiments (</w:t>
      </w:r>
      <w:r w:rsidR="00DE66EF" w:rsidRPr="005B7AE3">
        <w:rPr>
          <w:rFonts w:ascii="Times New Roman" w:hAnsi="Times New Roman" w:cs="Times New Roman"/>
          <w:i/>
          <w:color w:val="000000" w:themeColor="text1"/>
          <w:lang w:val="en-GB"/>
        </w:rPr>
        <w:t>n</w:t>
      </w:r>
      <w:r w:rsidR="00DE66EF" w:rsidRPr="005B7AE3">
        <w:rPr>
          <w:rFonts w:ascii="Times New Roman" w:hAnsi="Times New Roman" w:cs="Times New Roman"/>
          <w:color w:val="000000" w:themeColor="text1"/>
          <w:lang w:val="en-GB"/>
        </w:rPr>
        <w:t xml:space="preserve">=3). </w:t>
      </w:r>
      <w:r w:rsidR="004F51DA" w:rsidRPr="005B7AE3">
        <w:rPr>
          <w:rFonts w:ascii="Times New Roman" w:hAnsi="Times New Roman" w:cs="Times New Roman"/>
          <w:color w:val="000000" w:themeColor="text1"/>
        </w:rPr>
        <w:t>(</w:t>
      </w:r>
      <w:r w:rsidR="004F51DA" w:rsidRPr="005B7AE3">
        <w:rPr>
          <w:rFonts w:ascii="Times New Roman" w:hAnsi="Times New Roman" w:cs="Times New Roman"/>
          <w:b/>
          <w:color w:val="000000" w:themeColor="text1"/>
        </w:rPr>
        <w:t>E</w:t>
      </w:r>
      <w:r w:rsidR="004F51DA" w:rsidRPr="005B7AE3">
        <w:rPr>
          <w:rFonts w:ascii="Times New Roman" w:hAnsi="Times New Roman" w:cs="Times New Roman"/>
          <w:color w:val="000000" w:themeColor="text1"/>
        </w:rPr>
        <w:t>). AEP deficiency does not affect C3a generation in mouse CD4</w:t>
      </w:r>
      <w:r w:rsidR="004F51DA" w:rsidRPr="005B7AE3">
        <w:rPr>
          <w:rFonts w:ascii="Times New Roman" w:hAnsi="Times New Roman" w:cs="Times New Roman"/>
          <w:color w:val="000000" w:themeColor="text1"/>
          <w:vertAlign w:val="superscript"/>
        </w:rPr>
        <w:t>+</w:t>
      </w:r>
      <w:r w:rsidR="004F51DA" w:rsidRPr="005B7AE3">
        <w:rPr>
          <w:rFonts w:ascii="Times New Roman" w:hAnsi="Times New Roman" w:cs="Times New Roman"/>
          <w:color w:val="000000" w:themeColor="text1"/>
        </w:rPr>
        <w:t xml:space="preserve"> T cells. CD4</w:t>
      </w:r>
      <w:r w:rsidR="004F51DA" w:rsidRPr="005B7AE3">
        <w:rPr>
          <w:rFonts w:ascii="Times New Roman" w:hAnsi="Times New Roman" w:cs="Times New Roman"/>
          <w:color w:val="000000" w:themeColor="text1"/>
          <w:vertAlign w:val="superscript"/>
        </w:rPr>
        <w:t>+</w:t>
      </w:r>
      <w:r w:rsidR="004F51DA" w:rsidRPr="005B7AE3">
        <w:rPr>
          <w:rFonts w:ascii="Times New Roman" w:hAnsi="Times New Roman" w:cs="Times New Roman"/>
          <w:color w:val="000000" w:themeColor="text1"/>
        </w:rPr>
        <w:t xml:space="preserve"> T cells were isolated from either wild type (WT) or AEP-deficient (</w:t>
      </w:r>
      <w:proofErr w:type="spellStart"/>
      <w:r w:rsidR="004F51DA" w:rsidRPr="005B7AE3">
        <w:rPr>
          <w:rFonts w:ascii="Times New Roman" w:hAnsi="Times New Roman" w:cs="Times New Roman"/>
          <w:i/>
          <w:color w:val="000000" w:themeColor="text1"/>
        </w:rPr>
        <w:t>Lgmn</w:t>
      </w:r>
      <w:proofErr w:type="spellEnd"/>
      <w:r w:rsidR="004F51DA" w:rsidRPr="005B7AE3">
        <w:rPr>
          <w:rFonts w:ascii="Times New Roman" w:hAnsi="Times New Roman" w:cs="Times New Roman"/>
          <w:i/>
          <w:color w:val="000000" w:themeColor="text1"/>
          <w:vertAlign w:val="superscript"/>
        </w:rPr>
        <w:t>–/–</w:t>
      </w:r>
      <w:r w:rsidR="004F51DA" w:rsidRPr="005B7AE3">
        <w:rPr>
          <w:rFonts w:ascii="Times New Roman" w:hAnsi="Times New Roman" w:cs="Times New Roman"/>
          <w:color w:val="000000" w:themeColor="text1"/>
        </w:rPr>
        <w:t xml:space="preserve">) mice and left non-activated (NA) or activated with antibodies to CD3 and CD28. Intracellular C3a presence was measured by FACS analysis 48 </w:t>
      </w:r>
      <w:proofErr w:type="spellStart"/>
      <w:r w:rsidR="004F51DA" w:rsidRPr="005B7AE3">
        <w:rPr>
          <w:rFonts w:ascii="Times New Roman" w:hAnsi="Times New Roman" w:cs="Times New Roman"/>
          <w:color w:val="000000" w:themeColor="text1"/>
        </w:rPr>
        <w:t>hrs</w:t>
      </w:r>
      <w:proofErr w:type="spellEnd"/>
      <w:r w:rsidR="004F51DA" w:rsidRPr="005B7AE3">
        <w:rPr>
          <w:rFonts w:ascii="Times New Roman" w:hAnsi="Times New Roman" w:cs="Times New Roman"/>
          <w:color w:val="000000" w:themeColor="text1"/>
        </w:rPr>
        <w:t xml:space="preserve"> post activation. (</w:t>
      </w:r>
      <w:proofErr w:type="spellStart"/>
      <w:r w:rsidR="004F51DA" w:rsidRPr="005B7AE3">
        <w:rPr>
          <w:rFonts w:ascii="Times New Roman" w:hAnsi="Times New Roman" w:cs="Times New Roman"/>
          <w:b/>
          <w:color w:val="000000" w:themeColor="text1"/>
        </w:rPr>
        <w:t>Ei</w:t>
      </w:r>
      <w:proofErr w:type="spellEnd"/>
      <w:r w:rsidR="004F51DA" w:rsidRPr="005B7AE3">
        <w:rPr>
          <w:rFonts w:ascii="Times New Roman" w:hAnsi="Times New Roman" w:cs="Times New Roman"/>
          <w:b/>
          <w:color w:val="000000" w:themeColor="text1"/>
        </w:rPr>
        <w:t>)</w:t>
      </w:r>
      <w:r w:rsidR="004F51DA" w:rsidRPr="005B7AE3">
        <w:rPr>
          <w:rFonts w:ascii="Times New Roman" w:hAnsi="Times New Roman" w:cs="Times New Roman"/>
          <w:color w:val="000000" w:themeColor="text1"/>
        </w:rPr>
        <w:t xml:space="preserve"> depicts the representative FACS plot of one WT and </w:t>
      </w:r>
      <w:proofErr w:type="spellStart"/>
      <w:r w:rsidR="004F51DA" w:rsidRPr="005B7AE3">
        <w:rPr>
          <w:rFonts w:ascii="Times New Roman" w:hAnsi="Times New Roman" w:cs="Times New Roman"/>
          <w:i/>
          <w:color w:val="000000" w:themeColor="text1"/>
        </w:rPr>
        <w:t>Lgmn</w:t>
      </w:r>
      <w:proofErr w:type="spellEnd"/>
      <w:r w:rsidR="004F51DA" w:rsidRPr="005B7AE3">
        <w:rPr>
          <w:rFonts w:ascii="Times New Roman" w:hAnsi="Times New Roman" w:cs="Times New Roman"/>
          <w:i/>
          <w:color w:val="000000" w:themeColor="text1"/>
          <w:vertAlign w:val="superscript"/>
        </w:rPr>
        <w:t>–/–</w:t>
      </w:r>
      <w:r w:rsidR="004F51DA" w:rsidRPr="005B7AE3">
        <w:rPr>
          <w:rFonts w:ascii="Times New Roman" w:hAnsi="Times New Roman" w:cs="Times New Roman"/>
          <w:color w:val="000000" w:themeColor="text1"/>
        </w:rPr>
        <w:t xml:space="preserve"> mouse and (</w:t>
      </w:r>
      <w:proofErr w:type="spellStart"/>
      <w:r w:rsidR="004F51DA" w:rsidRPr="005B7AE3">
        <w:rPr>
          <w:rFonts w:ascii="Times New Roman" w:hAnsi="Times New Roman" w:cs="Times New Roman"/>
          <w:b/>
          <w:color w:val="000000" w:themeColor="text1"/>
        </w:rPr>
        <w:t>Eii</w:t>
      </w:r>
      <w:proofErr w:type="spellEnd"/>
      <w:r w:rsidR="004F51DA" w:rsidRPr="005B7AE3">
        <w:rPr>
          <w:rFonts w:ascii="Times New Roman" w:hAnsi="Times New Roman" w:cs="Times New Roman"/>
          <w:color w:val="000000" w:themeColor="text1"/>
        </w:rPr>
        <w:t xml:space="preserve">) shows the statistical analysis using three animals from each group. </w:t>
      </w:r>
      <w:r w:rsidRPr="005B7AE3">
        <w:rPr>
          <w:rFonts w:ascii="Times New Roman" w:hAnsi="Times New Roman" w:cs="Times New Roman"/>
          <w:color w:val="000000" w:themeColor="text1"/>
          <w:lang w:val="en-GB"/>
        </w:rPr>
        <w:t>(</w:t>
      </w:r>
      <w:r w:rsidR="004F51DA" w:rsidRPr="005B7AE3">
        <w:rPr>
          <w:rFonts w:ascii="Times New Roman" w:hAnsi="Times New Roman" w:cs="Times New Roman"/>
          <w:b/>
          <w:color w:val="000000" w:themeColor="text1"/>
          <w:lang w:val="en-GB"/>
        </w:rPr>
        <w:t>F</w:t>
      </w:r>
      <w:r w:rsidRPr="005B7AE3">
        <w:rPr>
          <w:rFonts w:ascii="Times New Roman" w:hAnsi="Times New Roman" w:cs="Times New Roman"/>
          <w:color w:val="000000" w:themeColor="text1"/>
          <w:lang w:val="en-GB"/>
        </w:rPr>
        <w:t>) AEP activity induces nuclear translocation of CTSL in T cells. Purified human CD4</w:t>
      </w:r>
      <w:r w:rsidRPr="005B7AE3">
        <w:rPr>
          <w:rFonts w:ascii="Times New Roman" w:hAnsi="Times New Roman" w:cs="Times New Roman"/>
          <w:color w:val="000000" w:themeColor="text1"/>
          <w:vertAlign w:val="superscript"/>
          <w:lang w:val="en-GB"/>
        </w:rPr>
        <w:t>+</w:t>
      </w:r>
      <w:r w:rsidRPr="005B7AE3">
        <w:rPr>
          <w:rFonts w:ascii="Times New Roman" w:hAnsi="Times New Roman" w:cs="Times New Roman"/>
          <w:color w:val="000000" w:themeColor="text1"/>
          <w:lang w:val="en-GB"/>
        </w:rPr>
        <w:t xml:space="preserve"> T cells were CD3+CD46 activated for 36 hrs and nuclear translocation monitored via (</w:t>
      </w:r>
      <w:r w:rsidR="004F51DA" w:rsidRPr="005B7AE3">
        <w:rPr>
          <w:rFonts w:ascii="Times New Roman" w:hAnsi="Times New Roman" w:cs="Times New Roman"/>
          <w:b/>
          <w:color w:val="000000" w:themeColor="text1"/>
          <w:lang w:val="en-GB"/>
        </w:rPr>
        <w:t>F</w:t>
      </w:r>
      <w:r w:rsidRPr="005B7AE3">
        <w:rPr>
          <w:rFonts w:ascii="Times New Roman" w:hAnsi="Times New Roman" w:cs="Times New Roman"/>
          <w:b/>
          <w:color w:val="000000" w:themeColor="text1"/>
          <w:lang w:val="en-GB"/>
        </w:rPr>
        <w:t>i</w:t>
      </w:r>
      <w:r w:rsidRPr="005B7AE3">
        <w:rPr>
          <w:rFonts w:ascii="Times New Roman" w:hAnsi="Times New Roman" w:cs="Times New Roman"/>
          <w:color w:val="000000" w:themeColor="text1"/>
          <w:lang w:val="en-GB"/>
        </w:rPr>
        <w:t>) confocal microscopy in combination with (</w:t>
      </w:r>
      <w:proofErr w:type="spellStart"/>
      <w:r w:rsidR="004F51DA" w:rsidRPr="005B7AE3">
        <w:rPr>
          <w:rFonts w:ascii="Times New Roman" w:hAnsi="Times New Roman" w:cs="Times New Roman"/>
          <w:b/>
          <w:color w:val="000000" w:themeColor="text1"/>
          <w:lang w:val="en-GB"/>
        </w:rPr>
        <w:t>F</w:t>
      </w:r>
      <w:r w:rsidRPr="005B7AE3">
        <w:rPr>
          <w:rFonts w:ascii="Times New Roman" w:hAnsi="Times New Roman" w:cs="Times New Roman"/>
          <w:b/>
          <w:color w:val="000000" w:themeColor="text1"/>
          <w:lang w:val="en-GB"/>
        </w:rPr>
        <w:t>ii</w:t>
      </w:r>
      <w:proofErr w:type="spellEnd"/>
      <w:r w:rsidRPr="005B7AE3">
        <w:rPr>
          <w:rFonts w:ascii="Times New Roman" w:hAnsi="Times New Roman" w:cs="Times New Roman"/>
          <w:color w:val="000000" w:themeColor="text1"/>
          <w:lang w:val="en-GB"/>
        </w:rPr>
        <w:t xml:space="preserve">) with a Pearson’s correlation coefficient analysis. </w:t>
      </w:r>
      <w:r w:rsidRPr="005B7AE3">
        <w:rPr>
          <w:rFonts w:ascii="Times New Roman" w:hAnsi="Times New Roman" w:cs="Times New Roman"/>
          <w:color w:val="000000" w:themeColor="text1"/>
        </w:rPr>
        <w:t xml:space="preserve">At least ten layers in 3D plane were scanned for each </w:t>
      </w:r>
      <w:r w:rsidRPr="00D24A0B">
        <w:rPr>
          <w:rFonts w:ascii="Times New Roman" w:hAnsi="Times New Roman" w:cs="Times New Roman"/>
        </w:rPr>
        <w:t>sample and for all samples a cropped image of a minimum of 12 cells was used to determine a total of 5 co-localization coefficients.</w:t>
      </w:r>
      <w:r>
        <w:rPr>
          <w:rFonts w:ascii="Times New Roman" w:hAnsi="Times New Roman" w:cs="Times New Roman"/>
        </w:rPr>
        <w:t xml:space="preserve"> </w:t>
      </w:r>
      <w:r w:rsidRPr="00151504">
        <w:rPr>
          <w:rFonts w:ascii="Times New Roman" w:eastAsia="Times New Roman" w:hAnsi="Times New Roman" w:cs="Times New Roman"/>
          <w:lang w:eastAsia="en-GB"/>
        </w:rPr>
        <w:t>**</w:t>
      </w:r>
      <w:r w:rsidRPr="00151504">
        <w:rPr>
          <w:rFonts w:ascii="Times New Roman" w:eastAsia="Times New Roman" w:hAnsi="Times New Roman" w:cs="Times New Roman"/>
          <w:i/>
          <w:lang w:eastAsia="en-GB"/>
        </w:rPr>
        <w:t>P</w:t>
      </w:r>
      <w:r w:rsidRPr="00151504">
        <w:rPr>
          <w:rFonts w:ascii="Times New Roman" w:eastAsia="Times New Roman" w:hAnsi="Times New Roman" w:cs="Times New Roman"/>
          <w:lang w:eastAsia="en-GB"/>
        </w:rPr>
        <w:t xml:space="preserve"> &lt;0.01</w:t>
      </w:r>
      <w:r>
        <w:rPr>
          <w:rFonts w:ascii="Times New Roman" w:eastAsia="Times New Roman" w:hAnsi="Times New Roman" w:cs="Times New Roman"/>
          <w:lang w:eastAsia="en-GB"/>
        </w:rPr>
        <w:t xml:space="preserve">; ns, not significant. </w:t>
      </w:r>
    </w:p>
    <w:p w14:paraId="6FE3C6DD" w14:textId="1050EED2" w:rsidR="005547EF" w:rsidRDefault="005547EF" w:rsidP="00104AA6">
      <w:pPr>
        <w:jc w:val="both"/>
        <w:rPr>
          <w:rFonts w:ascii="Arial" w:hAnsi="Arial" w:cs="Arial"/>
          <w:b/>
        </w:rPr>
      </w:pPr>
    </w:p>
    <w:p w14:paraId="0BE69C60" w14:textId="2909B730" w:rsidR="005547EF" w:rsidRDefault="005547EF" w:rsidP="00104AA6">
      <w:pPr>
        <w:jc w:val="both"/>
        <w:rPr>
          <w:rFonts w:ascii="Arial" w:hAnsi="Arial" w:cs="Arial"/>
          <w:b/>
        </w:rPr>
      </w:pPr>
    </w:p>
    <w:p w14:paraId="74C57BA2" w14:textId="2A084B25" w:rsidR="005547EF" w:rsidRDefault="00660998" w:rsidP="00104AA6">
      <w:pPr>
        <w:jc w:val="both"/>
        <w:rPr>
          <w:rFonts w:ascii="Arial" w:hAnsi="Arial" w:cs="Arial"/>
          <w:b/>
        </w:rPr>
      </w:pPr>
      <w:r>
        <w:rPr>
          <w:rFonts w:ascii="Arial" w:hAnsi="Arial" w:cs="Arial"/>
          <w:b/>
        </w:rPr>
        <w:t>References:</w:t>
      </w:r>
    </w:p>
    <w:p w14:paraId="4FA5D855" w14:textId="77777777" w:rsidR="006D3476" w:rsidRPr="006D3476" w:rsidRDefault="006D3476" w:rsidP="006D3476">
      <w:pPr>
        <w:pStyle w:val="EndNoteBibliography"/>
      </w:pPr>
      <w:r>
        <w:rPr>
          <w:rFonts w:ascii="Arial" w:hAnsi="Arial" w:cs="Arial"/>
          <w:b/>
        </w:rPr>
        <w:fldChar w:fldCharType="begin"/>
      </w:r>
      <w:r>
        <w:rPr>
          <w:rFonts w:ascii="Arial" w:hAnsi="Arial" w:cs="Arial"/>
          <w:b/>
        </w:rPr>
        <w:instrText xml:space="preserve"> ADDIN EN.REFLIST </w:instrText>
      </w:r>
      <w:r>
        <w:rPr>
          <w:rFonts w:ascii="Arial" w:hAnsi="Arial" w:cs="Arial"/>
          <w:b/>
        </w:rPr>
        <w:fldChar w:fldCharType="separate"/>
      </w:r>
      <w:r w:rsidRPr="006D3476">
        <w:t>Liszewski, M.K., Kolev, M., Le Friec, G., Leung, M., Bertram, P.G., Fara, A.F., Subias, M., Pickering, M.C., Drouet, C., Meri, S.</w:t>
      </w:r>
      <w:r w:rsidRPr="006D3476">
        <w:rPr>
          <w:i/>
        </w:rPr>
        <w:t>, et al.</w:t>
      </w:r>
      <w:r w:rsidRPr="006D3476">
        <w:t xml:space="preserve"> (2013). Intracellular complement activation sustains T cell homeostasis and mediates effector differentiation. Immunity</w:t>
      </w:r>
      <w:r w:rsidRPr="006D3476">
        <w:rPr>
          <w:i/>
        </w:rPr>
        <w:t xml:space="preserve"> 39</w:t>
      </w:r>
      <w:r w:rsidRPr="006D3476">
        <w:t>, 1143-1157.</w:t>
      </w:r>
    </w:p>
    <w:p w14:paraId="62ED68ED" w14:textId="77777777" w:rsidR="006D3476" w:rsidRPr="006D3476" w:rsidRDefault="006D3476" w:rsidP="006D3476">
      <w:pPr>
        <w:pStyle w:val="EndNoteBibliography"/>
      </w:pPr>
      <w:r w:rsidRPr="006D3476">
        <w:t>Loak, K., Li, D.N., Manoury, B., Billson, J., Morton, F., Hewitt, E., and Watts, C. (2003). Novel cell-permeable acyloxymethylketone inhibitors of asparaginyl endopeptidase. Biol Chem</w:t>
      </w:r>
      <w:r w:rsidRPr="006D3476">
        <w:rPr>
          <w:i/>
        </w:rPr>
        <w:t xml:space="preserve"> 384</w:t>
      </w:r>
      <w:r w:rsidRPr="006D3476">
        <w:t>, 1239-1246.</w:t>
      </w:r>
    </w:p>
    <w:p w14:paraId="5B77C519" w14:textId="77777777" w:rsidR="006D3476" w:rsidRPr="006D3476" w:rsidRDefault="006D3476" w:rsidP="006D3476">
      <w:pPr>
        <w:pStyle w:val="EndNoteBibliography"/>
      </w:pPr>
      <w:r w:rsidRPr="006D3476">
        <w:t>Wang, G., Liszewski, M.K., Chan, A.C., and Atkinson, J.P. (2000). Membrane cofactor protein (MCP; CD46): isoform-specific tyrosine phosphorylation. J Immunol</w:t>
      </w:r>
      <w:r w:rsidRPr="006D3476">
        <w:rPr>
          <w:i/>
        </w:rPr>
        <w:t xml:space="preserve"> 164</w:t>
      </w:r>
      <w:r w:rsidRPr="006D3476">
        <w:t>, 1839-1846.</w:t>
      </w:r>
    </w:p>
    <w:p w14:paraId="28254B2F" w14:textId="35ECE0C5" w:rsidR="005547EF" w:rsidRPr="0034389E" w:rsidRDefault="006D3476" w:rsidP="00104AA6">
      <w:pPr>
        <w:jc w:val="both"/>
        <w:rPr>
          <w:rFonts w:ascii="Arial" w:hAnsi="Arial" w:cs="Arial"/>
          <w:b/>
        </w:rPr>
      </w:pPr>
      <w:r>
        <w:rPr>
          <w:rFonts w:ascii="Arial" w:hAnsi="Arial" w:cs="Arial"/>
          <w:b/>
        </w:rPr>
        <w:fldChar w:fldCharType="end"/>
      </w:r>
    </w:p>
    <w:sectPr w:rsidR="005547EF" w:rsidRPr="0034389E" w:rsidSect="00104AA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848C07" w14:textId="77777777" w:rsidR="00055628" w:rsidRDefault="00055628" w:rsidP="00B80820">
      <w:r>
        <w:separator/>
      </w:r>
    </w:p>
  </w:endnote>
  <w:endnote w:type="continuationSeparator" w:id="0">
    <w:p w14:paraId="792D4D1E" w14:textId="77777777" w:rsidR="00055628" w:rsidRDefault="00055628" w:rsidP="00B808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Yu Mincho">
    <w:panose1 w:val="02020400000000000000"/>
    <w:charset w:val="80"/>
    <w:family w:val="roman"/>
    <w:notTrueType/>
    <w:pitch w:val="variable"/>
    <w:sig w:usb0="800002E7" w:usb1="2AC7FCFF" w:usb2="00000012" w:usb3="00000000" w:csb0="0002009F"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8CAC6F" w14:textId="77777777" w:rsidR="00055628" w:rsidRDefault="00055628" w:rsidP="00B80820">
      <w:r>
        <w:separator/>
      </w:r>
    </w:p>
  </w:footnote>
  <w:footnote w:type="continuationSeparator" w:id="0">
    <w:p w14:paraId="319664D3" w14:textId="77777777" w:rsidR="00055628" w:rsidRDefault="00055628" w:rsidP="00B8082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115EB8"/>
    <w:multiLevelType w:val="hybridMultilevel"/>
    <w:tmpl w:val="2AA2D7E0"/>
    <w:lvl w:ilvl="0" w:tplc="56F201C4">
      <w:start w:val="1"/>
      <w:numFmt w:val="upperLetter"/>
      <w:lvlText w:val="(%1)"/>
      <w:lvlJc w:val="left"/>
      <w:pPr>
        <w:ind w:left="720" w:hanging="360"/>
      </w:pPr>
      <w:rPr>
        <w:rFonts w:eastAsia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FBB1FF6"/>
    <w:multiLevelType w:val="hybridMultilevel"/>
    <w:tmpl w:val="4608F11A"/>
    <w:lvl w:ilvl="0" w:tplc="EFFC473C">
      <w:start w:val="5"/>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6883196"/>
    <w:multiLevelType w:val="hybridMultilevel"/>
    <w:tmpl w:val="07F819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8"/>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ell&lt;/Style&gt;&lt;LeftDelim&gt;{&lt;/LeftDelim&gt;&lt;RightDelim&gt;}&lt;/RightDelim&gt;&lt;FontName&gt;Calibri&lt;/FontName&gt;&lt;FontSize&gt;12&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F265B1"/>
    <w:rsid w:val="000042E0"/>
    <w:rsid w:val="00022F25"/>
    <w:rsid w:val="000262CC"/>
    <w:rsid w:val="0002685C"/>
    <w:rsid w:val="000336C5"/>
    <w:rsid w:val="0004597B"/>
    <w:rsid w:val="00055628"/>
    <w:rsid w:val="000656FC"/>
    <w:rsid w:val="00066EBF"/>
    <w:rsid w:val="00072A03"/>
    <w:rsid w:val="0007455C"/>
    <w:rsid w:val="000A118A"/>
    <w:rsid w:val="000B010A"/>
    <w:rsid w:val="000B1D7B"/>
    <w:rsid w:val="000B235B"/>
    <w:rsid w:val="000D303B"/>
    <w:rsid w:val="000E6E27"/>
    <w:rsid w:val="00104AA6"/>
    <w:rsid w:val="001053A4"/>
    <w:rsid w:val="0011015C"/>
    <w:rsid w:val="001142A1"/>
    <w:rsid w:val="001345A9"/>
    <w:rsid w:val="001370C7"/>
    <w:rsid w:val="00144D47"/>
    <w:rsid w:val="0014798F"/>
    <w:rsid w:val="00151925"/>
    <w:rsid w:val="0015265F"/>
    <w:rsid w:val="001649EB"/>
    <w:rsid w:val="00167EDF"/>
    <w:rsid w:val="00172035"/>
    <w:rsid w:val="001C5C49"/>
    <w:rsid w:val="001E6543"/>
    <w:rsid w:val="001F0BC7"/>
    <w:rsid w:val="00216686"/>
    <w:rsid w:val="00233324"/>
    <w:rsid w:val="00234A93"/>
    <w:rsid w:val="00236408"/>
    <w:rsid w:val="00243804"/>
    <w:rsid w:val="00243B1F"/>
    <w:rsid w:val="00243F2A"/>
    <w:rsid w:val="00247700"/>
    <w:rsid w:val="002541C3"/>
    <w:rsid w:val="0026091E"/>
    <w:rsid w:val="00267998"/>
    <w:rsid w:val="00273BC8"/>
    <w:rsid w:val="00290931"/>
    <w:rsid w:val="00294172"/>
    <w:rsid w:val="002A5ED3"/>
    <w:rsid w:val="002B4B3D"/>
    <w:rsid w:val="002B74C8"/>
    <w:rsid w:val="002C49D3"/>
    <w:rsid w:val="002C6EF0"/>
    <w:rsid w:val="002E2BE0"/>
    <w:rsid w:val="002F42DC"/>
    <w:rsid w:val="003021AC"/>
    <w:rsid w:val="00303555"/>
    <w:rsid w:val="0031404D"/>
    <w:rsid w:val="00316789"/>
    <w:rsid w:val="0031694E"/>
    <w:rsid w:val="003247E3"/>
    <w:rsid w:val="00340E5D"/>
    <w:rsid w:val="0034389E"/>
    <w:rsid w:val="00347E6D"/>
    <w:rsid w:val="00391754"/>
    <w:rsid w:val="003A16F0"/>
    <w:rsid w:val="003A29E3"/>
    <w:rsid w:val="003A41F3"/>
    <w:rsid w:val="003B5B66"/>
    <w:rsid w:val="003E4383"/>
    <w:rsid w:val="00415E19"/>
    <w:rsid w:val="0042111E"/>
    <w:rsid w:val="00422EB7"/>
    <w:rsid w:val="004251DA"/>
    <w:rsid w:val="00440A66"/>
    <w:rsid w:val="00442F65"/>
    <w:rsid w:val="00453EA4"/>
    <w:rsid w:val="00477792"/>
    <w:rsid w:val="00477C49"/>
    <w:rsid w:val="004916E3"/>
    <w:rsid w:val="00494E65"/>
    <w:rsid w:val="004A3A73"/>
    <w:rsid w:val="004B5FFA"/>
    <w:rsid w:val="004C6080"/>
    <w:rsid w:val="004D4A34"/>
    <w:rsid w:val="004D7B83"/>
    <w:rsid w:val="004E07CF"/>
    <w:rsid w:val="004E2F99"/>
    <w:rsid w:val="004F51DA"/>
    <w:rsid w:val="00520821"/>
    <w:rsid w:val="005218EC"/>
    <w:rsid w:val="00530F2C"/>
    <w:rsid w:val="0054316F"/>
    <w:rsid w:val="00546402"/>
    <w:rsid w:val="00554441"/>
    <w:rsid w:val="005547EF"/>
    <w:rsid w:val="0055554A"/>
    <w:rsid w:val="00582703"/>
    <w:rsid w:val="0059171D"/>
    <w:rsid w:val="005A0804"/>
    <w:rsid w:val="005A554C"/>
    <w:rsid w:val="005B7AE3"/>
    <w:rsid w:val="005C4D8D"/>
    <w:rsid w:val="005C6C02"/>
    <w:rsid w:val="005D3EA1"/>
    <w:rsid w:val="005D4B6D"/>
    <w:rsid w:val="005D6FB8"/>
    <w:rsid w:val="005E16F5"/>
    <w:rsid w:val="005F2505"/>
    <w:rsid w:val="00631F78"/>
    <w:rsid w:val="00633E32"/>
    <w:rsid w:val="00635828"/>
    <w:rsid w:val="00641B39"/>
    <w:rsid w:val="006434A9"/>
    <w:rsid w:val="006447B9"/>
    <w:rsid w:val="00650C8E"/>
    <w:rsid w:val="00660998"/>
    <w:rsid w:val="00665F64"/>
    <w:rsid w:val="00670ED6"/>
    <w:rsid w:val="00670F4D"/>
    <w:rsid w:val="00671522"/>
    <w:rsid w:val="0067554C"/>
    <w:rsid w:val="00697CA3"/>
    <w:rsid w:val="006C20FD"/>
    <w:rsid w:val="006D3476"/>
    <w:rsid w:val="006F0F92"/>
    <w:rsid w:val="007023F5"/>
    <w:rsid w:val="0071346C"/>
    <w:rsid w:val="00713506"/>
    <w:rsid w:val="0072010C"/>
    <w:rsid w:val="0072075B"/>
    <w:rsid w:val="00722287"/>
    <w:rsid w:val="00725612"/>
    <w:rsid w:val="00726161"/>
    <w:rsid w:val="00733E97"/>
    <w:rsid w:val="007340B9"/>
    <w:rsid w:val="00735A95"/>
    <w:rsid w:val="0074068C"/>
    <w:rsid w:val="007578BF"/>
    <w:rsid w:val="00760C62"/>
    <w:rsid w:val="007615F4"/>
    <w:rsid w:val="0076271E"/>
    <w:rsid w:val="00771A23"/>
    <w:rsid w:val="00774A2E"/>
    <w:rsid w:val="007765D1"/>
    <w:rsid w:val="0078465D"/>
    <w:rsid w:val="00796199"/>
    <w:rsid w:val="007A311E"/>
    <w:rsid w:val="007B22F6"/>
    <w:rsid w:val="007B5233"/>
    <w:rsid w:val="007C4B74"/>
    <w:rsid w:val="007C530C"/>
    <w:rsid w:val="007C55F3"/>
    <w:rsid w:val="007C61AF"/>
    <w:rsid w:val="007D0573"/>
    <w:rsid w:val="007D51A0"/>
    <w:rsid w:val="007D752B"/>
    <w:rsid w:val="007E2B95"/>
    <w:rsid w:val="00804F5D"/>
    <w:rsid w:val="00805C33"/>
    <w:rsid w:val="00805C70"/>
    <w:rsid w:val="00806B87"/>
    <w:rsid w:val="00814F7E"/>
    <w:rsid w:val="00817280"/>
    <w:rsid w:val="00825DF6"/>
    <w:rsid w:val="00835135"/>
    <w:rsid w:val="00850F85"/>
    <w:rsid w:val="00867620"/>
    <w:rsid w:val="00877A1B"/>
    <w:rsid w:val="00894703"/>
    <w:rsid w:val="008B5FE8"/>
    <w:rsid w:val="008B6D98"/>
    <w:rsid w:val="008C3882"/>
    <w:rsid w:val="008D333A"/>
    <w:rsid w:val="008D538C"/>
    <w:rsid w:val="008D7BC5"/>
    <w:rsid w:val="008E4A62"/>
    <w:rsid w:val="008E6CAA"/>
    <w:rsid w:val="00904F86"/>
    <w:rsid w:val="0092033D"/>
    <w:rsid w:val="00921D9C"/>
    <w:rsid w:val="00926DEC"/>
    <w:rsid w:val="009356F1"/>
    <w:rsid w:val="00935B61"/>
    <w:rsid w:val="00946049"/>
    <w:rsid w:val="009571F3"/>
    <w:rsid w:val="009626EA"/>
    <w:rsid w:val="009743C4"/>
    <w:rsid w:val="0097553C"/>
    <w:rsid w:val="00980853"/>
    <w:rsid w:val="00982809"/>
    <w:rsid w:val="00983B50"/>
    <w:rsid w:val="00985022"/>
    <w:rsid w:val="00987148"/>
    <w:rsid w:val="009A4E04"/>
    <w:rsid w:val="009C3488"/>
    <w:rsid w:val="009C781B"/>
    <w:rsid w:val="009D6278"/>
    <w:rsid w:val="009E2449"/>
    <w:rsid w:val="00A016A4"/>
    <w:rsid w:val="00A07A70"/>
    <w:rsid w:val="00A102DF"/>
    <w:rsid w:val="00A21059"/>
    <w:rsid w:val="00A26B4D"/>
    <w:rsid w:val="00A27853"/>
    <w:rsid w:val="00A46E13"/>
    <w:rsid w:val="00A4711E"/>
    <w:rsid w:val="00A535F4"/>
    <w:rsid w:val="00A71F57"/>
    <w:rsid w:val="00A721C8"/>
    <w:rsid w:val="00A80BEC"/>
    <w:rsid w:val="00A81B50"/>
    <w:rsid w:val="00A85AC7"/>
    <w:rsid w:val="00A86B10"/>
    <w:rsid w:val="00AA1BCC"/>
    <w:rsid w:val="00AA363A"/>
    <w:rsid w:val="00AA705C"/>
    <w:rsid w:val="00AB7ADA"/>
    <w:rsid w:val="00AD3599"/>
    <w:rsid w:val="00AD4656"/>
    <w:rsid w:val="00AD5E3D"/>
    <w:rsid w:val="00AE202C"/>
    <w:rsid w:val="00AE32EB"/>
    <w:rsid w:val="00AE4654"/>
    <w:rsid w:val="00AF482B"/>
    <w:rsid w:val="00AF78A0"/>
    <w:rsid w:val="00B00AA4"/>
    <w:rsid w:val="00B057AF"/>
    <w:rsid w:val="00B12A25"/>
    <w:rsid w:val="00B15FB7"/>
    <w:rsid w:val="00B20594"/>
    <w:rsid w:val="00B33F32"/>
    <w:rsid w:val="00B367FE"/>
    <w:rsid w:val="00B5130E"/>
    <w:rsid w:val="00B64A08"/>
    <w:rsid w:val="00B6708E"/>
    <w:rsid w:val="00B714D9"/>
    <w:rsid w:val="00B74628"/>
    <w:rsid w:val="00B80820"/>
    <w:rsid w:val="00B93D74"/>
    <w:rsid w:val="00BA1F1C"/>
    <w:rsid w:val="00BA20BD"/>
    <w:rsid w:val="00BB7DBD"/>
    <w:rsid w:val="00BC0208"/>
    <w:rsid w:val="00BF5F20"/>
    <w:rsid w:val="00C2266A"/>
    <w:rsid w:val="00C266D4"/>
    <w:rsid w:val="00C34F28"/>
    <w:rsid w:val="00C35C5D"/>
    <w:rsid w:val="00C36411"/>
    <w:rsid w:val="00C543A3"/>
    <w:rsid w:val="00C60A6C"/>
    <w:rsid w:val="00C63690"/>
    <w:rsid w:val="00C6562C"/>
    <w:rsid w:val="00C73F8A"/>
    <w:rsid w:val="00C83738"/>
    <w:rsid w:val="00CA4826"/>
    <w:rsid w:val="00CB517E"/>
    <w:rsid w:val="00CB5D28"/>
    <w:rsid w:val="00CB71FB"/>
    <w:rsid w:val="00CC2DC3"/>
    <w:rsid w:val="00CC6D9B"/>
    <w:rsid w:val="00CD198E"/>
    <w:rsid w:val="00CD5A54"/>
    <w:rsid w:val="00CD64FC"/>
    <w:rsid w:val="00CE5720"/>
    <w:rsid w:val="00CF20E6"/>
    <w:rsid w:val="00CF606F"/>
    <w:rsid w:val="00CF7223"/>
    <w:rsid w:val="00D0531C"/>
    <w:rsid w:val="00D05513"/>
    <w:rsid w:val="00D152B9"/>
    <w:rsid w:val="00D1577F"/>
    <w:rsid w:val="00D2094F"/>
    <w:rsid w:val="00D24A0B"/>
    <w:rsid w:val="00D46F35"/>
    <w:rsid w:val="00D5081B"/>
    <w:rsid w:val="00D556BA"/>
    <w:rsid w:val="00D62C6E"/>
    <w:rsid w:val="00D768B6"/>
    <w:rsid w:val="00D82739"/>
    <w:rsid w:val="00D8492F"/>
    <w:rsid w:val="00D90A65"/>
    <w:rsid w:val="00DA159D"/>
    <w:rsid w:val="00DC0381"/>
    <w:rsid w:val="00DD774B"/>
    <w:rsid w:val="00DE19B0"/>
    <w:rsid w:val="00DE66EF"/>
    <w:rsid w:val="00E018E5"/>
    <w:rsid w:val="00E02EB7"/>
    <w:rsid w:val="00E07445"/>
    <w:rsid w:val="00E179C7"/>
    <w:rsid w:val="00E21A8C"/>
    <w:rsid w:val="00E22A55"/>
    <w:rsid w:val="00E319E5"/>
    <w:rsid w:val="00E4233B"/>
    <w:rsid w:val="00E50B9D"/>
    <w:rsid w:val="00E752B5"/>
    <w:rsid w:val="00E90991"/>
    <w:rsid w:val="00EC3C6F"/>
    <w:rsid w:val="00EC4308"/>
    <w:rsid w:val="00ED099A"/>
    <w:rsid w:val="00ED2C2D"/>
    <w:rsid w:val="00EF0A96"/>
    <w:rsid w:val="00EF5584"/>
    <w:rsid w:val="00F02DBC"/>
    <w:rsid w:val="00F05825"/>
    <w:rsid w:val="00F134C0"/>
    <w:rsid w:val="00F2184E"/>
    <w:rsid w:val="00F265B1"/>
    <w:rsid w:val="00F30230"/>
    <w:rsid w:val="00F34BDA"/>
    <w:rsid w:val="00F35687"/>
    <w:rsid w:val="00F374EB"/>
    <w:rsid w:val="00F43EA3"/>
    <w:rsid w:val="00F45EF5"/>
    <w:rsid w:val="00F51CE9"/>
    <w:rsid w:val="00F6066B"/>
    <w:rsid w:val="00F71742"/>
    <w:rsid w:val="00F77A9B"/>
    <w:rsid w:val="00F97449"/>
    <w:rsid w:val="00FC5097"/>
    <w:rsid w:val="00FC5FA7"/>
    <w:rsid w:val="00FC79C7"/>
    <w:rsid w:val="00FD05C9"/>
    <w:rsid w:val="00FE37CD"/>
    <w:rsid w:val="00FF048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3CCC352"/>
  <w14:defaultImageDpi w14:val="32767"/>
  <w15:docId w15:val="{972B2B76-F13A-4B6A-A277-0E83768E61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15FB7"/>
  </w:style>
  <w:style w:type="paragraph" w:styleId="Heading3">
    <w:name w:val="heading 3"/>
    <w:basedOn w:val="Normal"/>
    <w:link w:val="Heading3Char"/>
    <w:uiPriority w:val="9"/>
    <w:qFormat/>
    <w:rsid w:val="006F0F92"/>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179C7"/>
    <w:rPr>
      <w:color w:val="0563C1" w:themeColor="hyperlink"/>
      <w:u w:val="single"/>
    </w:rPr>
  </w:style>
  <w:style w:type="character" w:customStyle="1" w:styleId="normaltextrun">
    <w:name w:val="normaltextrun"/>
    <w:basedOn w:val="DefaultParagraphFont"/>
    <w:rsid w:val="00A46E13"/>
  </w:style>
  <w:style w:type="paragraph" w:customStyle="1" w:styleId="paragraph">
    <w:name w:val="paragraph"/>
    <w:basedOn w:val="Normal"/>
    <w:rsid w:val="00A21059"/>
    <w:pPr>
      <w:spacing w:before="100" w:beforeAutospacing="1" w:after="100" w:afterAutospacing="1"/>
    </w:pPr>
    <w:rPr>
      <w:rFonts w:ascii="Times New Roman" w:eastAsia="Times New Roman" w:hAnsi="Times New Roman" w:cs="Times New Roman"/>
      <w:lang w:val="en-GB" w:eastAsia="en-GB"/>
    </w:rPr>
  </w:style>
  <w:style w:type="character" w:customStyle="1" w:styleId="eop">
    <w:name w:val="eop"/>
    <w:basedOn w:val="DefaultParagraphFont"/>
    <w:rsid w:val="00A21059"/>
  </w:style>
  <w:style w:type="paragraph" w:customStyle="1" w:styleId="EndNoteBibliographyTitle">
    <w:name w:val="EndNote Bibliography Title"/>
    <w:basedOn w:val="Normal"/>
    <w:link w:val="EndNoteBibliographyTitleChar"/>
    <w:rsid w:val="00F97449"/>
    <w:pPr>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F97449"/>
    <w:rPr>
      <w:rFonts w:ascii="Calibri" w:hAnsi="Calibri" w:cs="Calibri"/>
      <w:noProof/>
    </w:rPr>
  </w:style>
  <w:style w:type="paragraph" w:customStyle="1" w:styleId="EndNoteBibliography">
    <w:name w:val="EndNote Bibliography"/>
    <w:basedOn w:val="Normal"/>
    <w:link w:val="EndNoteBibliographyChar"/>
    <w:rsid w:val="00F97449"/>
    <w:pPr>
      <w:jc w:val="both"/>
    </w:pPr>
    <w:rPr>
      <w:rFonts w:ascii="Calibri" w:hAnsi="Calibri" w:cs="Calibri"/>
      <w:noProof/>
    </w:rPr>
  </w:style>
  <w:style w:type="character" w:customStyle="1" w:styleId="EndNoteBibliographyChar">
    <w:name w:val="EndNote Bibliography Char"/>
    <w:basedOn w:val="DefaultParagraphFont"/>
    <w:link w:val="EndNoteBibliography"/>
    <w:rsid w:val="00F97449"/>
    <w:rPr>
      <w:rFonts w:ascii="Calibri" w:hAnsi="Calibri" w:cs="Calibri"/>
      <w:noProof/>
    </w:rPr>
  </w:style>
  <w:style w:type="character" w:customStyle="1" w:styleId="Heading3Char">
    <w:name w:val="Heading 3 Char"/>
    <w:basedOn w:val="DefaultParagraphFont"/>
    <w:link w:val="Heading3"/>
    <w:uiPriority w:val="9"/>
    <w:rsid w:val="006F0F92"/>
    <w:rPr>
      <w:rFonts w:ascii="Times New Roman" w:eastAsia="Times New Roman" w:hAnsi="Times New Roman" w:cs="Times New Roman"/>
      <w:b/>
      <w:bCs/>
      <w:sz w:val="27"/>
      <w:szCs w:val="27"/>
    </w:rPr>
  </w:style>
  <w:style w:type="paragraph" w:customStyle="1" w:styleId="Default">
    <w:name w:val="Default"/>
    <w:rsid w:val="00FC79C7"/>
    <w:pPr>
      <w:autoSpaceDE w:val="0"/>
      <w:autoSpaceDN w:val="0"/>
      <w:adjustRightInd w:val="0"/>
    </w:pPr>
    <w:rPr>
      <w:rFonts w:ascii="Times New Roman" w:eastAsiaTheme="minorEastAsia" w:hAnsi="Times New Roman" w:cs="Times New Roman"/>
      <w:color w:val="000000"/>
    </w:rPr>
  </w:style>
  <w:style w:type="character" w:customStyle="1" w:styleId="spellingerror">
    <w:name w:val="spellingerror"/>
    <w:basedOn w:val="DefaultParagraphFont"/>
    <w:rsid w:val="005D6FB8"/>
  </w:style>
  <w:style w:type="paragraph" w:styleId="ListParagraph">
    <w:name w:val="List Paragraph"/>
    <w:basedOn w:val="Normal"/>
    <w:uiPriority w:val="34"/>
    <w:qFormat/>
    <w:rsid w:val="00554441"/>
    <w:pPr>
      <w:ind w:left="720"/>
      <w:contextualSpacing/>
    </w:pPr>
  </w:style>
  <w:style w:type="paragraph" w:styleId="Header">
    <w:name w:val="header"/>
    <w:basedOn w:val="Normal"/>
    <w:link w:val="HeaderChar"/>
    <w:uiPriority w:val="99"/>
    <w:unhideWhenUsed/>
    <w:rsid w:val="00B80820"/>
    <w:pPr>
      <w:tabs>
        <w:tab w:val="center" w:pos="4513"/>
        <w:tab w:val="right" w:pos="9026"/>
      </w:tabs>
    </w:pPr>
  </w:style>
  <w:style w:type="character" w:customStyle="1" w:styleId="HeaderChar">
    <w:name w:val="Header Char"/>
    <w:basedOn w:val="DefaultParagraphFont"/>
    <w:link w:val="Header"/>
    <w:uiPriority w:val="99"/>
    <w:rsid w:val="00B80820"/>
  </w:style>
  <w:style w:type="paragraph" w:styleId="Footer">
    <w:name w:val="footer"/>
    <w:basedOn w:val="Normal"/>
    <w:link w:val="FooterChar"/>
    <w:uiPriority w:val="99"/>
    <w:unhideWhenUsed/>
    <w:rsid w:val="00B80820"/>
    <w:pPr>
      <w:tabs>
        <w:tab w:val="center" w:pos="4513"/>
        <w:tab w:val="right" w:pos="9026"/>
      </w:tabs>
    </w:pPr>
  </w:style>
  <w:style w:type="character" w:customStyle="1" w:styleId="FooterChar">
    <w:name w:val="Footer Char"/>
    <w:basedOn w:val="DefaultParagraphFont"/>
    <w:link w:val="Footer"/>
    <w:uiPriority w:val="99"/>
    <w:rsid w:val="00B80820"/>
  </w:style>
  <w:style w:type="paragraph" w:styleId="NormalWeb">
    <w:name w:val="Normal (Web)"/>
    <w:basedOn w:val="Normal"/>
    <w:uiPriority w:val="99"/>
    <w:semiHidden/>
    <w:unhideWhenUsed/>
    <w:rsid w:val="006434A9"/>
    <w:pPr>
      <w:spacing w:before="100" w:beforeAutospacing="1" w:after="100" w:afterAutospacing="1"/>
    </w:pPr>
    <w:rPr>
      <w:rFonts w:ascii="Times New Roman" w:eastAsiaTheme="minorEastAsia" w:hAnsi="Times New Roman" w:cs="Times New Roman"/>
    </w:rPr>
  </w:style>
  <w:style w:type="paragraph" w:styleId="BalloonText">
    <w:name w:val="Balloon Text"/>
    <w:basedOn w:val="Normal"/>
    <w:link w:val="BalloonTextChar"/>
    <w:uiPriority w:val="99"/>
    <w:semiHidden/>
    <w:unhideWhenUsed/>
    <w:rsid w:val="0066099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0998"/>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693319">
      <w:bodyDiv w:val="1"/>
      <w:marLeft w:val="0"/>
      <w:marRight w:val="0"/>
      <w:marTop w:val="0"/>
      <w:marBottom w:val="0"/>
      <w:divBdr>
        <w:top w:val="none" w:sz="0" w:space="0" w:color="auto"/>
        <w:left w:val="none" w:sz="0" w:space="0" w:color="auto"/>
        <w:bottom w:val="none" w:sz="0" w:space="0" w:color="auto"/>
        <w:right w:val="none" w:sz="0" w:space="0" w:color="auto"/>
      </w:divBdr>
    </w:div>
    <w:div w:id="387339849">
      <w:bodyDiv w:val="1"/>
      <w:marLeft w:val="0"/>
      <w:marRight w:val="0"/>
      <w:marTop w:val="0"/>
      <w:marBottom w:val="0"/>
      <w:divBdr>
        <w:top w:val="none" w:sz="0" w:space="0" w:color="auto"/>
        <w:left w:val="none" w:sz="0" w:space="0" w:color="auto"/>
        <w:bottom w:val="none" w:sz="0" w:space="0" w:color="auto"/>
        <w:right w:val="none" w:sz="0" w:space="0" w:color="auto"/>
      </w:divBdr>
    </w:div>
    <w:div w:id="1076172119">
      <w:bodyDiv w:val="1"/>
      <w:marLeft w:val="0"/>
      <w:marRight w:val="0"/>
      <w:marTop w:val="0"/>
      <w:marBottom w:val="0"/>
      <w:divBdr>
        <w:top w:val="none" w:sz="0" w:space="0" w:color="auto"/>
        <w:left w:val="none" w:sz="0" w:space="0" w:color="auto"/>
        <w:bottom w:val="none" w:sz="0" w:space="0" w:color="auto"/>
        <w:right w:val="none" w:sz="0" w:space="0" w:color="auto"/>
      </w:divBdr>
    </w:div>
    <w:div w:id="1120108011">
      <w:bodyDiv w:val="1"/>
      <w:marLeft w:val="0"/>
      <w:marRight w:val="0"/>
      <w:marTop w:val="0"/>
      <w:marBottom w:val="0"/>
      <w:divBdr>
        <w:top w:val="none" w:sz="0" w:space="0" w:color="auto"/>
        <w:left w:val="none" w:sz="0" w:space="0" w:color="auto"/>
        <w:bottom w:val="none" w:sz="0" w:space="0" w:color="auto"/>
        <w:right w:val="none" w:sz="0" w:space="0" w:color="auto"/>
      </w:divBdr>
    </w:div>
    <w:div w:id="1349988178">
      <w:bodyDiv w:val="1"/>
      <w:marLeft w:val="0"/>
      <w:marRight w:val="0"/>
      <w:marTop w:val="0"/>
      <w:marBottom w:val="0"/>
      <w:divBdr>
        <w:top w:val="none" w:sz="0" w:space="0" w:color="auto"/>
        <w:left w:val="none" w:sz="0" w:space="0" w:color="auto"/>
        <w:bottom w:val="none" w:sz="0" w:space="0" w:color="auto"/>
        <w:right w:val="none" w:sz="0" w:space="0" w:color="auto"/>
      </w:divBdr>
    </w:div>
    <w:div w:id="1453012214">
      <w:bodyDiv w:val="1"/>
      <w:marLeft w:val="0"/>
      <w:marRight w:val="0"/>
      <w:marTop w:val="0"/>
      <w:marBottom w:val="0"/>
      <w:divBdr>
        <w:top w:val="none" w:sz="0" w:space="0" w:color="auto"/>
        <w:left w:val="none" w:sz="0" w:space="0" w:color="auto"/>
        <w:bottom w:val="none" w:sz="0" w:space="0" w:color="auto"/>
        <w:right w:val="none" w:sz="0" w:space="0" w:color="auto"/>
      </w:divBdr>
      <w:divsChild>
        <w:div w:id="1759400443">
          <w:marLeft w:val="0"/>
          <w:marRight w:val="0"/>
          <w:marTop w:val="0"/>
          <w:marBottom w:val="0"/>
          <w:divBdr>
            <w:top w:val="none" w:sz="0" w:space="0" w:color="auto"/>
            <w:left w:val="none" w:sz="0" w:space="0" w:color="auto"/>
            <w:bottom w:val="none" w:sz="0" w:space="0" w:color="auto"/>
            <w:right w:val="none" w:sz="0" w:space="0" w:color="auto"/>
          </w:divBdr>
        </w:div>
        <w:div w:id="873421859">
          <w:marLeft w:val="0"/>
          <w:marRight w:val="0"/>
          <w:marTop w:val="0"/>
          <w:marBottom w:val="0"/>
          <w:divBdr>
            <w:top w:val="none" w:sz="0" w:space="0" w:color="auto"/>
            <w:left w:val="none" w:sz="0" w:space="0" w:color="auto"/>
            <w:bottom w:val="none" w:sz="0" w:space="0" w:color="auto"/>
            <w:right w:val="none" w:sz="0" w:space="0" w:color="auto"/>
          </w:divBdr>
        </w:div>
        <w:div w:id="1011026653">
          <w:marLeft w:val="0"/>
          <w:marRight w:val="0"/>
          <w:marTop w:val="0"/>
          <w:marBottom w:val="0"/>
          <w:divBdr>
            <w:top w:val="none" w:sz="0" w:space="0" w:color="auto"/>
            <w:left w:val="none" w:sz="0" w:space="0" w:color="auto"/>
            <w:bottom w:val="none" w:sz="0" w:space="0" w:color="auto"/>
            <w:right w:val="none" w:sz="0" w:space="0" w:color="auto"/>
          </w:divBdr>
        </w:div>
        <w:div w:id="1010066363">
          <w:marLeft w:val="0"/>
          <w:marRight w:val="0"/>
          <w:marTop w:val="0"/>
          <w:marBottom w:val="0"/>
          <w:divBdr>
            <w:top w:val="none" w:sz="0" w:space="0" w:color="auto"/>
            <w:left w:val="none" w:sz="0" w:space="0" w:color="auto"/>
            <w:bottom w:val="none" w:sz="0" w:space="0" w:color="auto"/>
            <w:right w:val="none" w:sz="0" w:space="0" w:color="auto"/>
          </w:divBdr>
        </w:div>
        <w:div w:id="840242914">
          <w:marLeft w:val="0"/>
          <w:marRight w:val="0"/>
          <w:marTop w:val="0"/>
          <w:marBottom w:val="0"/>
          <w:divBdr>
            <w:top w:val="none" w:sz="0" w:space="0" w:color="auto"/>
            <w:left w:val="none" w:sz="0" w:space="0" w:color="auto"/>
            <w:bottom w:val="none" w:sz="0" w:space="0" w:color="auto"/>
            <w:right w:val="none" w:sz="0" w:space="0" w:color="auto"/>
          </w:divBdr>
        </w:div>
        <w:div w:id="2079084415">
          <w:marLeft w:val="0"/>
          <w:marRight w:val="0"/>
          <w:marTop w:val="0"/>
          <w:marBottom w:val="0"/>
          <w:divBdr>
            <w:top w:val="none" w:sz="0" w:space="0" w:color="auto"/>
            <w:left w:val="none" w:sz="0" w:space="0" w:color="auto"/>
            <w:bottom w:val="none" w:sz="0" w:space="0" w:color="auto"/>
            <w:right w:val="none" w:sz="0" w:space="0" w:color="auto"/>
          </w:divBdr>
        </w:div>
      </w:divsChild>
    </w:div>
    <w:div w:id="1520386297">
      <w:bodyDiv w:val="1"/>
      <w:marLeft w:val="0"/>
      <w:marRight w:val="0"/>
      <w:marTop w:val="0"/>
      <w:marBottom w:val="0"/>
      <w:divBdr>
        <w:top w:val="none" w:sz="0" w:space="0" w:color="auto"/>
        <w:left w:val="none" w:sz="0" w:space="0" w:color="auto"/>
        <w:bottom w:val="none" w:sz="0" w:space="0" w:color="auto"/>
        <w:right w:val="none" w:sz="0" w:space="0" w:color="auto"/>
      </w:divBdr>
    </w:div>
    <w:div w:id="1789735829">
      <w:bodyDiv w:val="1"/>
      <w:marLeft w:val="0"/>
      <w:marRight w:val="0"/>
      <w:marTop w:val="0"/>
      <w:marBottom w:val="0"/>
      <w:divBdr>
        <w:top w:val="none" w:sz="0" w:space="0" w:color="auto"/>
        <w:left w:val="none" w:sz="0" w:space="0" w:color="auto"/>
        <w:bottom w:val="none" w:sz="0" w:space="0" w:color="auto"/>
        <w:right w:val="none" w:sz="0" w:space="0" w:color="auto"/>
      </w:divBdr>
    </w:div>
    <w:div w:id="184354675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ishersci.ca/shop/products/promega-celltiter-glo-luminescent-cell-viability-assay-kit-6/p-107437"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44BF30-A6CC-D14D-B2B6-85999CED8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2379</Words>
  <Characters>13562</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
    </vt:vector>
  </TitlesOfParts>
  <Company>NIH</Company>
  <LinksUpToDate>false</LinksUpToDate>
  <CharactersWithSpaces>15910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Kemper, Claudia (NIH/NHLBI) [E]</dc:creator>
  <cp:keywords/>
  <dc:description/>
  <cp:lastModifiedBy>Kemper, Claudia (NIH/NHLBI) [E]</cp:lastModifiedBy>
  <cp:revision>2</cp:revision>
  <dcterms:created xsi:type="dcterms:W3CDTF">2018-10-12T18:34:00Z</dcterms:created>
  <dcterms:modified xsi:type="dcterms:W3CDTF">2018-10-12T18:34:00Z</dcterms:modified>
</cp:coreProperties>
</file>