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charts/colors1.xml" ContentType="application/vnd.ms-office.chartcolorstyl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E83" w:rsidRPr="0041259A" w:rsidRDefault="0041259A" w:rsidP="00BE3570">
      <w:pPr>
        <w:jc w:val="both"/>
        <w:rPr>
          <w:b/>
        </w:rPr>
      </w:pPr>
      <w:r w:rsidRPr="0041259A">
        <w:rPr>
          <w:b/>
        </w:rPr>
        <w:t>Supplemental Materials:</w:t>
      </w:r>
    </w:p>
    <w:p w:rsidR="00063D8A" w:rsidRDefault="00063D8A" w:rsidP="00BE3570">
      <w:pPr>
        <w:jc w:val="both"/>
        <w:rPr>
          <w:b/>
        </w:rPr>
      </w:pPr>
    </w:p>
    <w:p w:rsidR="0041259A" w:rsidRPr="0041259A" w:rsidRDefault="00570BFD" w:rsidP="00BE3570">
      <w:pPr>
        <w:jc w:val="both"/>
        <w:rPr>
          <w:b/>
        </w:rPr>
      </w:pPr>
      <w:r>
        <w:rPr>
          <w:b/>
        </w:rPr>
        <w:t xml:space="preserve">The unit </w:t>
      </w:r>
      <w:r w:rsidR="00063D8A">
        <w:rPr>
          <w:b/>
        </w:rPr>
        <w:t>%IS/g</w:t>
      </w:r>
      <w:r>
        <w:rPr>
          <w:b/>
        </w:rPr>
        <w:t>,</w:t>
      </w:r>
      <w:r w:rsidR="00063D8A">
        <w:rPr>
          <w:b/>
        </w:rPr>
        <w:t xml:space="preserve"> and </w:t>
      </w:r>
      <w:r w:rsidR="0041259A" w:rsidRPr="0041259A">
        <w:rPr>
          <w:b/>
        </w:rPr>
        <w:t>Partial Volume Effects due to positron range:</w:t>
      </w:r>
    </w:p>
    <w:p w:rsidR="007D6B6C" w:rsidRDefault="00F17D7F" w:rsidP="00BE3570">
      <w:pPr>
        <w:jc w:val="both"/>
      </w:pPr>
      <w:r>
        <w:t>Throughout the text we have</w:t>
      </w:r>
      <w:r w:rsidR="00063D8A">
        <w:t xml:space="preserve"> use</w:t>
      </w:r>
      <w:r>
        <w:t>d</w:t>
      </w:r>
      <w:r w:rsidR="00063D8A">
        <w:t xml:space="preserve"> a unit, </w:t>
      </w:r>
      <w:r w:rsidR="00063D8A" w:rsidRPr="006954A3">
        <w:rPr>
          <w:i/>
        </w:rPr>
        <w:t>%IS/g</w:t>
      </w:r>
      <w:r w:rsidR="00063D8A">
        <w:t xml:space="preserve">, to denote the “percent </w:t>
      </w:r>
      <w:r w:rsidR="001222A7">
        <w:t xml:space="preserve">of </w:t>
      </w:r>
      <w:r w:rsidR="00063D8A">
        <w:t>injected annihilation signal per g</w:t>
      </w:r>
      <w:r>
        <w:t>ram tissue</w:t>
      </w:r>
      <w:r w:rsidR="00063D8A">
        <w:t xml:space="preserve">”. </w:t>
      </w:r>
      <w:r w:rsidR="007D6B6C">
        <w:t xml:space="preserve">This is </w:t>
      </w:r>
      <w:r w:rsidR="001222A7">
        <w:t>in contrast to the common</w:t>
      </w:r>
      <w:r w:rsidR="007D6B6C">
        <w:t xml:space="preserve"> unit</w:t>
      </w:r>
      <w:r w:rsidR="001222A7">
        <w:t>,</w:t>
      </w:r>
      <w:r w:rsidR="007D6B6C">
        <w:t xml:space="preserve"> </w:t>
      </w:r>
      <w:r w:rsidR="007D6B6C" w:rsidRPr="006954A3">
        <w:rPr>
          <w:i/>
        </w:rPr>
        <w:t>%ID/g</w:t>
      </w:r>
      <w:r>
        <w:t xml:space="preserve"> (</w:t>
      </w:r>
      <w:r w:rsidR="007D6B6C">
        <w:t>percent of injected dose per gram</w:t>
      </w:r>
      <w:r>
        <w:t>)</w:t>
      </w:r>
      <w:r w:rsidR="007D6B6C">
        <w:t xml:space="preserve">, which is typically used to report </w:t>
      </w:r>
      <w:r>
        <w:t>relative radio</w:t>
      </w:r>
      <w:r w:rsidR="007D6B6C">
        <w:t xml:space="preserve">tracer </w:t>
      </w:r>
      <w:r>
        <w:t>concentrations</w:t>
      </w:r>
      <w:r w:rsidR="007D6B6C">
        <w:t xml:space="preserve">. </w:t>
      </w:r>
      <w:r w:rsidR="00063D8A">
        <w:t>We made th</w:t>
      </w:r>
      <w:r w:rsidR="007D6B6C">
        <w:t>e</w:t>
      </w:r>
      <w:r w:rsidR="00063D8A">
        <w:t xml:space="preserve"> decision</w:t>
      </w:r>
      <w:r w:rsidR="007D6B6C">
        <w:t xml:space="preserve"> to change units</w:t>
      </w:r>
      <w:r w:rsidR="00063D8A">
        <w:t xml:space="preserve"> for two reasons: first because the EC-delayed positron is not guaranteed to be emitted at the same location as the initial EC decay; and second, because the abnormally high energy of positrons emitted in the decay of </w:t>
      </w:r>
      <w:r w:rsidR="00063D8A" w:rsidRPr="00CE63AA">
        <w:rPr>
          <w:vertAlign w:val="superscript"/>
        </w:rPr>
        <w:t>140</w:t>
      </w:r>
      <w:r w:rsidR="00063D8A">
        <w:t>Pr lead</w:t>
      </w:r>
      <w:r w:rsidR="007D6B6C">
        <w:t>s</w:t>
      </w:r>
      <w:r w:rsidR="00063D8A">
        <w:t xml:space="preserve"> to large partial volume effects which alter the relationship between the decay distribution and the </w:t>
      </w:r>
      <w:r w:rsidR="007D6B6C">
        <w:t xml:space="preserve">annihilation distribution. </w:t>
      </w:r>
    </w:p>
    <w:p w:rsidR="00063D8A" w:rsidRDefault="001222A7" w:rsidP="00BE3570">
      <w:pPr>
        <w:jc w:val="both"/>
      </w:pPr>
      <w:r>
        <w:t>W</w:t>
      </w:r>
      <w:r w:rsidR="007D6B6C">
        <w:t xml:space="preserve">e can consider the </w:t>
      </w:r>
      <w:r w:rsidR="007D6B6C" w:rsidRPr="00CE63AA">
        <w:rPr>
          <w:vertAlign w:val="superscript"/>
        </w:rPr>
        <w:t>140</w:t>
      </w:r>
      <w:r w:rsidR="007D6B6C">
        <w:t xml:space="preserve">Nd (parent) spatial decay distribution, </w:t>
      </w:r>
      <m:oMath>
        <m:r>
          <w:rPr>
            <w:rFonts w:ascii="Cambria Math" w:hAnsi="Cambria Math"/>
          </w:rPr>
          <m:t>P(r)</m:t>
        </m:r>
      </m:oMath>
      <w:r w:rsidR="007D6B6C">
        <w:t xml:space="preserve">, the </w:t>
      </w:r>
      <w:r w:rsidR="007D6B6C" w:rsidRPr="00CE63AA">
        <w:rPr>
          <w:vertAlign w:val="superscript"/>
        </w:rPr>
        <w:t>140</w:t>
      </w:r>
      <w:r w:rsidR="007D6B6C">
        <w:t xml:space="preserve">Pr (daughter) decay distribution, </w:t>
      </w:r>
      <m:oMath>
        <m:r>
          <w:rPr>
            <w:rFonts w:ascii="Cambria Math" w:hAnsi="Cambria Math"/>
          </w:rPr>
          <m:t>D(r)</m:t>
        </m:r>
      </m:oMath>
      <w:r w:rsidR="007D6B6C">
        <w:t xml:space="preserve">, and the annihilation distribution </w:t>
      </w:r>
      <m:oMath>
        <m:r>
          <w:rPr>
            <w:rFonts w:ascii="Cambria Math" w:hAnsi="Cambria Math"/>
          </w:rPr>
          <m:t>H(r)</m:t>
        </m:r>
      </m:oMath>
      <w:r w:rsidR="00F17D7F">
        <w:t xml:space="preserve">. </w:t>
      </w:r>
      <m:oMath>
        <m:r>
          <w:rPr>
            <w:rFonts w:ascii="Cambria Math" w:hAnsi="Cambria Math"/>
          </w:rPr>
          <m:t>P(r)</m:t>
        </m:r>
      </m:oMath>
      <w:r w:rsidR="007618E6">
        <w:t xml:space="preserve"> maps to </w:t>
      </w:r>
      <m:oMath>
        <m:r>
          <w:rPr>
            <w:rFonts w:ascii="Cambria Math" w:hAnsi="Cambria Math"/>
          </w:rPr>
          <m:t xml:space="preserve">D(r) </m:t>
        </m:r>
      </m:oMath>
      <w:r w:rsidR="00CE63AA">
        <w:t xml:space="preserve">through biological redistribution, and </w:t>
      </w:r>
      <m:oMath>
        <m:r>
          <w:rPr>
            <w:rFonts w:ascii="Cambria Math" w:hAnsi="Cambria Math"/>
          </w:rPr>
          <m:t xml:space="preserve">D(r) </m:t>
        </m:r>
      </m:oMath>
      <w:r w:rsidR="00CE63AA">
        <w:t xml:space="preserve">maps to </w:t>
      </w:r>
      <m:oMath>
        <m:r>
          <w:rPr>
            <w:rFonts w:ascii="Cambria Math" w:hAnsi="Cambria Math"/>
          </w:rPr>
          <m:t xml:space="preserve">H(r) </m:t>
        </m:r>
      </m:oMath>
      <w:r>
        <w:t>by point spreading due to the positron range and detector resolution. The biological redistribution is the subject of the manuscript and is discussed in the text. The partial volume effect a</w:t>
      </w:r>
      <w:r w:rsidR="006954A3">
        <w:t>s a result of</w:t>
      </w:r>
      <w:r>
        <w:t xml:space="preserve"> point-spreading is also very important for quantification of the </w:t>
      </w:r>
      <w:r w:rsidR="006954A3">
        <w:t>PET images</w:t>
      </w:r>
      <w:r>
        <w:t xml:space="preserve"> and is treated here:</w:t>
      </w:r>
    </w:p>
    <w:p w:rsidR="00BE3570" w:rsidRDefault="0041259A" w:rsidP="004133A6">
      <w:pPr>
        <w:ind w:firstLine="720"/>
        <w:jc w:val="both"/>
      </w:pPr>
      <w:r>
        <w:t xml:space="preserve">The </w:t>
      </w:r>
      <w:r w:rsidR="00BE3570">
        <w:t xml:space="preserve">positron </w:t>
      </w:r>
      <w:r>
        <w:t xml:space="preserve">endpoint energy </w:t>
      </w:r>
      <w:r w:rsidR="00BE3570">
        <w:t>for</w:t>
      </w:r>
      <w:r>
        <w:t xml:space="preserve"> </w:t>
      </w:r>
      <w:r w:rsidRPr="0041259A">
        <w:rPr>
          <w:vertAlign w:val="superscript"/>
        </w:rPr>
        <w:t>140</w:t>
      </w:r>
      <w:r>
        <w:t xml:space="preserve">Pr decay is 2.366 MeV. This is considerably higher than the </w:t>
      </w:r>
      <w:r w:rsidR="0095130B">
        <w:t xml:space="preserve">positron </w:t>
      </w:r>
      <w:r>
        <w:t xml:space="preserve">endpoint energy </w:t>
      </w:r>
      <w:r w:rsidR="007D506A">
        <w:t xml:space="preserve">for </w:t>
      </w:r>
      <w:r>
        <w:t xml:space="preserve">commonly used PET radioisotopes </w:t>
      </w:r>
      <w:r w:rsidR="00BE3570">
        <w:t xml:space="preserve">like </w:t>
      </w:r>
      <w:r w:rsidR="00BE3570" w:rsidRPr="00BE3570">
        <w:rPr>
          <w:vertAlign w:val="superscript"/>
        </w:rPr>
        <w:t>18</w:t>
      </w:r>
      <w:r w:rsidR="00BE3570">
        <w:t xml:space="preserve">F </w:t>
      </w:r>
      <w:r>
        <w:t xml:space="preserve">(the </w:t>
      </w:r>
      <w:r w:rsidRPr="0041259A">
        <w:rPr>
          <w:vertAlign w:val="superscript"/>
        </w:rPr>
        <w:t>18</w:t>
      </w:r>
      <w:r>
        <w:t>F endpoint is 0.633 MeV). Th</w:t>
      </w:r>
      <w:r w:rsidR="00BE3570">
        <w:t>e</w:t>
      </w:r>
      <w:r>
        <w:t xml:space="preserve"> higher </w:t>
      </w:r>
      <w:r w:rsidR="00F70444">
        <w:t>energy</w:t>
      </w:r>
      <w:r w:rsidR="00BE3570">
        <w:t xml:space="preserve"> from </w:t>
      </w:r>
      <w:r w:rsidR="00BE3570" w:rsidRPr="00BE3570">
        <w:rPr>
          <w:vertAlign w:val="superscript"/>
        </w:rPr>
        <w:t>140</w:t>
      </w:r>
      <w:r w:rsidR="00BE3570">
        <w:t>Pr decay</w:t>
      </w:r>
      <w:r>
        <w:t xml:space="preserve"> leads t</w:t>
      </w:r>
      <w:r w:rsidR="00F70444">
        <w:t xml:space="preserve">o an extended positron range, which in turn </w:t>
      </w:r>
      <w:r w:rsidR="0095130B">
        <w:t xml:space="preserve">can </w:t>
      </w:r>
      <w:r w:rsidR="00276D7F">
        <w:t>distort PET quantification</w:t>
      </w:r>
      <w:r w:rsidR="00F70444">
        <w:t>.</w:t>
      </w:r>
      <w:r w:rsidR="00276D7F">
        <w:t xml:space="preserve"> For many isotopes this is not a critical issue because the positron range is small compared to the size regions of interest (ROIs). </w:t>
      </w:r>
      <w:r w:rsidR="0095130B">
        <w:t xml:space="preserve"> However, in the case of </w:t>
      </w:r>
      <w:r w:rsidR="0095130B" w:rsidRPr="0095130B">
        <w:rPr>
          <w:vertAlign w:val="superscript"/>
        </w:rPr>
        <w:t>140</w:t>
      </w:r>
      <w:r w:rsidR="0095130B">
        <w:t>Pr the average range of the positrons is around 4-5 mm, with the highest energy positrons reaching over 11 mm. For small ROI’s (</w:t>
      </w:r>
      <w:r w:rsidR="00665922">
        <w:rPr>
          <w:rFonts w:cstheme="minorHAnsi"/>
        </w:rPr>
        <w:t>µ</w:t>
      </w:r>
      <w:r w:rsidR="0095130B">
        <w:t xml:space="preserve">L to mL) this either leads to an overestimation of the size of the ROI </w:t>
      </w:r>
      <w:r w:rsidR="00BE3570">
        <w:t>(if the ROI has been drawn based upon the PET data)</w:t>
      </w:r>
      <w:r w:rsidR="0095130B">
        <w:t xml:space="preserve">, or it leads to an underestimation of the amount of tracer in the ROI </w:t>
      </w:r>
      <w:r w:rsidR="00BE3570">
        <w:t>(</w:t>
      </w:r>
      <w:r w:rsidR="0095130B">
        <w:t>if the ROI is draw</w:t>
      </w:r>
      <w:r w:rsidR="00BE3570">
        <w:t>n based upon anatomical imaging like CT or MRI)</w:t>
      </w:r>
      <w:r w:rsidR="0095130B">
        <w:t>. In either case, the PET signal in an ROI will be related to the</w:t>
      </w:r>
      <w:r w:rsidR="00BE3570">
        <w:t xml:space="preserve"> tracer distribution in a size dependent manner, which is termed a “partial volume effect”. </w:t>
      </w:r>
    </w:p>
    <w:p w:rsidR="00A71F32" w:rsidRDefault="00BE3570" w:rsidP="00BE3570">
      <w:pPr>
        <w:jc w:val="both"/>
      </w:pPr>
      <w:r>
        <w:t xml:space="preserve">It is possible to calculate the magnitude of the </w:t>
      </w:r>
      <w:r w:rsidR="00015D7A">
        <w:t xml:space="preserve">range-related </w:t>
      </w:r>
      <w:r>
        <w:t xml:space="preserve">partial volume effect as a function of ROI size. </w:t>
      </w:r>
      <w:r w:rsidR="00015D7A">
        <w:t xml:space="preserve">Starting with the </w:t>
      </w:r>
      <w:r w:rsidR="00665922">
        <w:t>daughter</w:t>
      </w:r>
      <w:r w:rsidR="00015D7A">
        <w:t xml:space="preserve"> distribution, </w:t>
      </w:r>
      <w:r w:rsidR="006954A3">
        <w:rPr>
          <w:rFonts w:cstheme="minorHAnsi"/>
          <w:i/>
        </w:rPr>
        <w:t>D</w:t>
      </w:r>
      <w:r w:rsidR="00015D7A" w:rsidRPr="00A71F32">
        <w:rPr>
          <w:i/>
        </w:rPr>
        <w:t>(r</w:t>
      </w:r>
      <w:r w:rsidR="00A71F32" w:rsidRPr="00A71F32">
        <w:rPr>
          <w:i/>
        </w:rPr>
        <w:t>’</w:t>
      </w:r>
      <w:r w:rsidR="00015D7A" w:rsidRPr="00A71F32">
        <w:rPr>
          <w:i/>
        </w:rPr>
        <w:t>)</w:t>
      </w:r>
      <w:r w:rsidR="00015D7A">
        <w:t>,</w:t>
      </w:r>
      <w:r w:rsidR="00A71F32">
        <w:t xml:space="preserve"> the PET the annihilation concentration, </w:t>
      </w:r>
      <w:r w:rsidR="00C570F1">
        <w:rPr>
          <w:i/>
        </w:rPr>
        <w:t>H</w:t>
      </w:r>
      <w:r w:rsidR="00A71F32" w:rsidRPr="00A71F32">
        <w:rPr>
          <w:i/>
        </w:rPr>
        <w:t>(r)</w:t>
      </w:r>
      <w:r w:rsidR="00A71F32">
        <w:t xml:space="preserve"> is given by:</w:t>
      </w:r>
    </w:p>
    <w:p w:rsidR="0095130B" w:rsidRDefault="00665922" w:rsidP="00665922">
      <w:pPr>
        <w:jc w:val="center"/>
        <w:rPr>
          <w:i/>
        </w:rPr>
      </w:pPr>
      <m:oMathPara>
        <m:oMath>
          <m:r>
            <w:rPr>
              <w:rFonts w:ascii="Cambria Math" w:hAnsi="Cambria Math"/>
            </w:rPr>
            <m:t xml:space="preserve">H(r)=A </m:t>
          </m:r>
          <m:nary>
            <m:naryPr>
              <m:limLoc m:val="undOvr"/>
              <m:subHide m:val="1"/>
              <m:supHide m:val="1"/>
              <m:ctrlPr>
                <w:rPr>
                  <w:rFonts w:ascii="Cambria Math" w:hAnsi="Cambria Math"/>
                  <w:i/>
                </w:rPr>
              </m:ctrlPr>
            </m:naryPr>
            <m:sub/>
            <m:sup/>
            <m:e>
              <m:r>
                <w:rPr>
                  <w:rFonts w:ascii="Cambria Math" w:hAnsi="Cambria Math"/>
                </w:rPr>
                <m:t xml:space="preserve"> </m:t>
              </m:r>
              <m:r>
                <w:rPr>
                  <w:rFonts w:ascii="Cambria Math" w:hAnsi="Cambria Math" w:cstheme="minorHAnsi"/>
                </w:rPr>
                <m:t>D</m:t>
              </m:r>
              <m:r>
                <w:rPr>
                  <w:rFonts w:ascii="Cambria Math" w:hAnsi="Cambria Math"/>
                </w:rPr>
                <m:t>(r’) F(|r-r’|)dr’</m:t>
              </m:r>
            </m:e>
          </m:nary>
        </m:oMath>
      </m:oMathPara>
    </w:p>
    <w:p w:rsidR="006740D9" w:rsidRDefault="00A71F32" w:rsidP="00BE3570">
      <w:pPr>
        <w:jc w:val="both"/>
      </w:pPr>
      <w:r>
        <w:t xml:space="preserve">where </w:t>
      </w:r>
      <m:oMath>
        <m:r>
          <w:rPr>
            <w:rFonts w:ascii="Cambria Math" w:hAnsi="Cambria Math"/>
          </w:rPr>
          <m:t>F(|r-r’|)</m:t>
        </m:r>
      </m:oMath>
      <w:r>
        <w:rPr>
          <w:i/>
        </w:rPr>
        <w:t xml:space="preserve"> </w:t>
      </w:r>
      <w:r>
        <w:t xml:space="preserve">is the probability of an annihilation event occurring at a distance </w:t>
      </w:r>
      <m:oMath>
        <m:r>
          <w:rPr>
            <w:rFonts w:ascii="Cambria Math" w:hAnsi="Cambria Math"/>
          </w:rPr>
          <m:t>|r-r’|</m:t>
        </m:r>
      </m:oMath>
      <w:r w:rsidR="006740D9">
        <w:t xml:space="preserve"> from a source point</w:t>
      </w:r>
      <w:r w:rsidR="001222A7">
        <w:t>, and</w:t>
      </w:r>
      <w:r>
        <w:t xml:space="preserve"> </w:t>
      </w:r>
      <w:r w:rsidRPr="00A71F32">
        <w:rPr>
          <w:i/>
        </w:rPr>
        <w:t>A</w:t>
      </w:r>
      <w:r>
        <w:t xml:space="preserve"> is simply a scaling constant.  </w:t>
      </w:r>
      <w:r w:rsidR="001222A7">
        <w:t xml:space="preserve">The function </w:t>
      </w:r>
      <w:r w:rsidR="006740D9" w:rsidRPr="001222A7">
        <w:rPr>
          <w:i/>
        </w:rPr>
        <w:t>F</w:t>
      </w:r>
      <w:r w:rsidR="006740D9">
        <w:t xml:space="preserve"> is endpoint-energy dependent, and is equal to the positron energy distribution (i.e. the beta spectrum) mapped onto range-space </w:t>
      </w:r>
      <w:r w:rsidR="001222A7">
        <w:t>through the use of</w:t>
      </w:r>
      <w:r w:rsidR="006740D9">
        <w:t xml:space="preserve"> electron range tables (like NIST’s ESTAR database).</w:t>
      </w:r>
    </w:p>
    <w:p w:rsidR="006740D9" w:rsidRDefault="006740D9" w:rsidP="00BE3570">
      <w:pPr>
        <w:jc w:val="both"/>
      </w:pPr>
      <w:r>
        <w:t xml:space="preserve">The </w:t>
      </w:r>
      <w:r w:rsidR="001222A7">
        <w:t xml:space="preserve">integrated </w:t>
      </w:r>
      <w:r>
        <w:t>PET signal</w:t>
      </w:r>
      <w:r w:rsidR="001222A7">
        <w:t xml:space="preserve">, </w:t>
      </w:r>
      <m:oMath>
        <m:sSub>
          <m:sSubPr>
            <m:ctrlPr>
              <w:rPr>
                <w:rFonts w:ascii="Cambria Math" w:hAnsi="Cambria Math"/>
                <w:i/>
              </w:rPr>
            </m:ctrlPr>
          </m:sSubPr>
          <m:e>
            <m:r>
              <w:rPr>
                <w:rFonts w:ascii="Cambria Math" w:hAnsi="Cambria Math"/>
              </w:rPr>
              <m:t>W</m:t>
            </m:r>
          </m:e>
          <m:sub>
            <m:r>
              <w:rPr>
                <w:rFonts w:ascii="Cambria Math" w:hAnsi="Cambria Math"/>
                <w:vertAlign w:val="subscript"/>
              </w:rPr>
              <m:t>ROI</m:t>
            </m:r>
          </m:sub>
        </m:sSub>
      </m:oMath>
      <w:r w:rsidR="001222A7">
        <w:rPr>
          <w:i/>
          <w:vertAlign w:val="subscript"/>
        </w:rPr>
        <w:t xml:space="preserve"> </w:t>
      </w:r>
      <w:r w:rsidR="001222A7" w:rsidRPr="001222A7">
        <w:t>,</w:t>
      </w:r>
      <w:r>
        <w:t>for a given ROI will be the integral of the annihilation concentration</w:t>
      </w:r>
      <w:r w:rsidR="001222A7">
        <w:t>,</w:t>
      </w:r>
      <w:r>
        <w:t xml:space="preserve"> </w:t>
      </w:r>
      <m:oMath>
        <m:r>
          <w:rPr>
            <w:rFonts w:ascii="Cambria Math" w:hAnsi="Cambria Math"/>
          </w:rPr>
          <m:t>H(r)</m:t>
        </m:r>
      </m:oMath>
      <w:r w:rsidR="001222A7">
        <w:rPr>
          <w:i/>
        </w:rPr>
        <w:t>,</w:t>
      </w:r>
      <w:r>
        <w:t xml:space="preserve"> over the ROI volume:</w:t>
      </w:r>
    </w:p>
    <w:p w:rsidR="006740D9" w:rsidRPr="00D93778" w:rsidRDefault="00F12D1D" w:rsidP="00BE3570">
      <w:pPr>
        <w:jc w:val="both"/>
        <w:rPr>
          <w:i/>
        </w:rPr>
      </w:pPr>
      <m:oMathPara>
        <m:oMath>
          <m:sSub>
            <m:sSubPr>
              <m:ctrlPr>
                <w:rPr>
                  <w:rFonts w:ascii="Cambria Math" w:hAnsi="Cambria Math"/>
                  <w:i/>
                </w:rPr>
              </m:ctrlPr>
            </m:sSubPr>
            <m:e>
              <m:r>
                <w:rPr>
                  <w:rFonts w:ascii="Cambria Math" w:hAnsi="Cambria Math"/>
                </w:rPr>
                <m:t>W</m:t>
              </m:r>
            </m:e>
            <m:sub>
              <m:r>
                <w:rPr>
                  <w:rFonts w:ascii="Cambria Math" w:hAnsi="Cambria Math"/>
                  <w:vertAlign w:val="subscript"/>
                </w:rPr>
                <m:t>ROI</m:t>
              </m:r>
            </m:sub>
          </m:sSub>
          <m:r>
            <w:rPr>
              <w:rFonts w:ascii="Cambria Math" w:hAnsi="Cambria Math"/>
            </w:rPr>
            <m:t xml:space="preserve">= </m:t>
          </m:r>
          <m:nary>
            <m:naryPr>
              <m:limLoc m:val="subSup"/>
              <m:ctrlPr>
                <w:rPr>
                  <w:rFonts w:ascii="Cambria Math" w:hAnsi="Cambria Math"/>
                  <w:i/>
                </w:rPr>
              </m:ctrlPr>
            </m:naryPr>
            <m:sub>
              <m:r>
                <w:rPr>
                  <w:rFonts w:ascii="Cambria Math" w:hAnsi="Cambria Math"/>
                </w:rPr>
                <m:t>ROI</m:t>
              </m:r>
            </m:sub>
            <m:sup>
              <m:r>
                <w:rPr>
                  <w:rFonts w:ascii="Cambria Math" w:hAnsi="Cambria Math"/>
                </w:rPr>
                <m:t xml:space="preserve"> </m:t>
              </m:r>
            </m:sup>
            <m:e>
              <m:r>
                <w:rPr>
                  <w:rFonts w:ascii="Cambria Math" w:hAnsi="Cambria Math"/>
                </w:rPr>
                <m:t>H(r)dr</m:t>
              </m:r>
            </m:e>
          </m:nary>
          <m:r>
            <w:rPr>
              <w:rFonts w:ascii="Cambria Math" w:hAnsi="Cambria Math"/>
            </w:rPr>
            <m:t xml:space="preserve"> </m:t>
          </m:r>
        </m:oMath>
      </m:oMathPara>
    </w:p>
    <w:p w:rsidR="00063D8A" w:rsidRDefault="00063D8A" w:rsidP="00BE3570">
      <w:pPr>
        <w:jc w:val="both"/>
      </w:pPr>
      <w:r>
        <w:lastRenderedPageBreak/>
        <w:t>whereas</w:t>
      </w:r>
      <w:r w:rsidR="006740D9">
        <w:t xml:space="preserve"> the number of decays that occur within the ROI, </w:t>
      </w:r>
      <m:oMath>
        <m:sSub>
          <m:sSubPr>
            <m:ctrlPr>
              <w:rPr>
                <w:rFonts w:ascii="Cambria Math" w:hAnsi="Cambria Math"/>
                <w:i/>
              </w:rPr>
            </m:ctrlPr>
          </m:sSubPr>
          <m:e>
            <m:r>
              <w:rPr>
                <w:rFonts w:ascii="Cambria Math" w:hAnsi="Cambria Math"/>
              </w:rPr>
              <m:t>Q</m:t>
            </m:r>
          </m:e>
          <m:sub>
            <m:r>
              <w:rPr>
                <w:rFonts w:ascii="Cambria Math" w:hAnsi="Cambria Math"/>
              </w:rPr>
              <m:t>ROI</m:t>
            </m:r>
          </m:sub>
        </m:sSub>
      </m:oMath>
      <w:r>
        <w:t>, is</w:t>
      </w:r>
    </w:p>
    <w:p w:rsidR="00063D8A" w:rsidRDefault="00F12D1D" w:rsidP="003D1622">
      <w:pPr>
        <w:jc w:val="center"/>
        <w:rPr>
          <w:i/>
        </w:rPr>
      </w:pPr>
      <m:oMathPara>
        <m:oMath>
          <m:sSub>
            <m:sSubPr>
              <m:ctrlPr>
                <w:rPr>
                  <w:rFonts w:ascii="Cambria Math" w:hAnsi="Cambria Math"/>
                  <w:i/>
                </w:rPr>
              </m:ctrlPr>
            </m:sSubPr>
            <m:e>
              <m:r>
                <w:rPr>
                  <w:rFonts w:ascii="Cambria Math" w:hAnsi="Cambria Math"/>
                </w:rPr>
                <m:t>Q</m:t>
              </m:r>
            </m:e>
            <m:sub>
              <m:r>
                <w:rPr>
                  <w:rFonts w:ascii="Cambria Math" w:hAnsi="Cambria Math"/>
                </w:rPr>
                <m:t>ROI</m:t>
              </m:r>
            </m:sub>
          </m:sSub>
          <m:r>
            <w:rPr>
              <w:rFonts w:ascii="Cambria Math" w:hAnsi="Cambria Math"/>
            </w:rPr>
            <m:t>=</m:t>
          </m:r>
          <m:nary>
            <m:naryPr>
              <m:limLoc m:val="subSup"/>
              <m:ctrlPr>
                <w:rPr>
                  <w:rFonts w:ascii="Cambria Math" w:hAnsi="Cambria Math"/>
                  <w:i/>
                </w:rPr>
              </m:ctrlPr>
            </m:naryPr>
            <m:sub>
              <m:r>
                <w:rPr>
                  <w:rFonts w:ascii="Cambria Math" w:hAnsi="Cambria Math"/>
                </w:rPr>
                <m:t>ROI</m:t>
              </m:r>
            </m:sub>
            <m:sup>
              <m:r>
                <w:rPr>
                  <w:rFonts w:ascii="Cambria Math" w:hAnsi="Cambria Math"/>
                </w:rPr>
                <m:t xml:space="preserve"> </m:t>
              </m:r>
            </m:sup>
            <m:e>
              <m:r>
                <w:rPr>
                  <w:rFonts w:ascii="Cambria Math" w:hAnsi="Cambria Math"/>
                </w:rPr>
                <m:t>D</m:t>
              </m:r>
              <m:d>
                <m:dPr>
                  <m:ctrlPr>
                    <w:rPr>
                      <w:rFonts w:ascii="Cambria Math" w:hAnsi="Cambria Math"/>
                      <w:i/>
                    </w:rPr>
                  </m:ctrlPr>
                </m:dPr>
                <m:e>
                  <m:r>
                    <w:rPr>
                      <w:rFonts w:ascii="Cambria Math" w:hAnsi="Cambria Math"/>
                    </w:rPr>
                    <m:t>r</m:t>
                  </m:r>
                </m:e>
              </m:d>
              <m:r>
                <w:rPr>
                  <w:rFonts w:ascii="Cambria Math" w:hAnsi="Cambria Math"/>
                </w:rPr>
                <m:t>dr</m:t>
              </m:r>
            </m:e>
          </m:nary>
          <m:r>
            <w:rPr>
              <w:rFonts w:ascii="Cambria Math" w:hAnsi="Cambria Math"/>
            </w:rPr>
            <m:t xml:space="preserve"> </m:t>
          </m:r>
          <m:r>
            <w:br/>
          </m:r>
        </m:oMath>
      </m:oMathPara>
    </w:p>
    <w:p w:rsidR="00375FD6" w:rsidRDefault="00F12D1D" w:rsidP="00D93778">
      <w:pPr>
        <w:jc w:val="both"/>
      </w:pPr>
      <m:oMath>
        <m:sSub>
          <m:sSubPr>
            <m:ctrlPr>
              <w:rPr>
                <w:rFonts w:ascii="Cambria Math" w:hAnsi="Cambria Math"/>
                <w:i/>
              </w:rPr>
            </m:ctrlPr>
          </m:sSubPr>
          <m:e>
            <m:r>
              <w:rPr>
                <w:rFonts w:ascii="Cambria Math" w:hAnsi="Cambria Math"/>
              </w:rPr>
              <m:t>W</m:t>
            </m:r>
          </m:e>
          <m:sub>
            <m:r>
              <w:rPr>
                <w:rFonts w:ascii="Cambria Math" w:hAnsi="Cambria Math"/>
              </w:rPr>
              <m:t>ROI</m:t>
            </m:r>
          </m:sub>
        </m:sSub>
        <m:r>
          <w:rPr>
            <w:rFonts w:ascii="Cambria Math" w:hAnsi="Cambria Math"/>
          </w:rPr>
          <m:t xml:space="preserve"> </m:t>
        </m:r>
      </m:oMath>
      <w:r w:rsidR="00063D8A">
        <w:t xml:space="preserve">and </w:t>
      </w:r>
      <m:oMath>
        <m:sSub>
          <m:sSubPr>
            <m:ctrlPr>
              <w:rPr>
                <w:rFonts w:ascii="Cambria Math" w:hAnsi="Cambria Math"/>
                <w:i/>
              </w:rPr>
            </m:ctrlPr>
          </m:sSubPr>
          <m:e>
            <m:r>
              <w:rPr>
                <w:rFonts w:ascii="Cambria Math" w:hAnsi="Cambria Math"/>
              </w:rPr>
              <m:t>Q</m:t>
            </m:r>
          </m:e>
          <m:sub>
            <m:r>
              <w:rPr>
                <w:rFonts w:ascii="Cambria Math" w:hAnsi="Cambria Math"/>
              </w:rPr>
              <m:t>ROI</m:t>
            </m:r>
          </m:sub>
        </m:sSub>
      </m:oMath>
      <w:r w:rsidR="003D1622">
        <w:rPr>
          <w:rFonts w:eastAsiaTheme="minorEastAsia"/>
        </w:rPr>
        <w:t xml:space="preserve"> </w:t>
      </w:r>
      <w:r w:rsidR="00F3019D">
        <w:t>are not equivalent</w:t>
      </w:r>
      <w:r w:rsidR="00063D8A">
        <w:t xml:space="preserve"> s</w:t>
      </w:r>
      <w:r w:rsidR="006740D9">
        <w:t>ince</w:t>
      </w:r>
      <w:r w:rsidR="00063D8A">
        <w:t xml:space="preserve"> </w:t>
      </w:r>
      <m:oMath>
        <m:sSub>
          <m:sSubPr>
            <m:ctrlPr>
              <w:rPr>
                <w:rFonts w:ascii="Cambria Math" w:hAnsi="Cambria Math"/>
                <w:i/>
              </w:rPr>
            </m:ctrlPr>
          </m:sSubPr>
          <m:e>
            <m:r>
              <w:rPr>
                <w:rFonts w:ascii="Cambria Math" w:hAnsi="Cambria Math"/>
              </w:rPr>
              <m:t>W</m:t>
            </m:r>
          </m:e>
          <m:sub>
            <m:r>
              <w:rPr>
                <w:rFonts w:ascii="Cambria Math" w:hAnsi="Cambria Math"/>
              </w:rPr>
              <m:t>ROI</m:t>
            </m:r>
          </m:sub>
        </m:sSub>
        <m:r>
          <w:rPr>
            <w:rFonts w:ascii="Cambria Math" w:hAnsi="Cambria Math"/>
          </w:rPr>
          <m:t xml:space="preserve"> </m:t>
        </m:r>
      </m:oMath>
      <w:r w:rsidR="00063D8A">
        <w:t xml:space="preserve"> may include annihilation events from positr</w:t>
      </w:r>
      <w:r w:rsidR="00D93778">
        <w:t>ons originating outside the ROI</w:t>
      </w:r>
      <w:r w:rsidR="00063D8A">
        <w:t xml:space="preserve"> and excludes some annihilation events from positrons ori</w:t>
      </w:r>
      <w:r w:rsidR="00D93778">
        <w:t>ginating inside of the ROI. The factor</w:t>
      </w:r>
      <w:r w:rsidR="00F3019D">
        <w:t xml:space="preserve"> relating </w:t>
      </w:r>
      <m:oMath>
        <m:sSub>
          <m:sSubPr>
            <m:ctrlPr>
              <w:rPr>
                <w:rFonts w:ascii="Cambria Math" w:hAnsi="Cambria Math"/>
                <w:i/>
              </w:rPr>
            </m:ctrlPr>
          </m:sSubPr>
          <m:e>
            <m:r>
              <w:rPr>
                <w:rFonts w:ascii="Cambria Math" w:hAnsi="Cambria Math"/>
              </w:rPr>
              <m:t>W</m:t>
            </m:r>
          </m:e>
          <m:sub>
            <m:r>
              <w:rPr>
                <w:rFonts w:ascii="Cambria Math" w:hAnsi="Cambria Math"/>
              </w:rPr>
              <m:t>ROI</m:t>
            </m:r>
          </m:sub>
        </m:sSub>
        <m:r>
          <w:rPr>
            <w:rFonts w:ascii="Cambria Math" w:hAnsi="Cambria Math"/>
          </w:rPr>
          <m:t xml:space="preserve"> </m:t>
        </m:r>
      </m:oMath>
      <w:r w:rsidR="00F3019D">
        <w:t xml:space="preserve"> and </w:t>
      </w:r>
      <w:r w:rsidR="00F3019D" w:rsidRPr="00D86D6D">
        <w:rPr>
          <w:i/>
        </w:rPr>
        <w:t>Q</w:t>
      </w:r>
      <w:r w:rsidR="00D93778">
        <w:t xml:space="preserve">, </w:t>
      </w:r>
      <w:r w:rsidR="00D93778" w:rsidRPr="00D93778">
        <w:rPr>
          <w:i/>
        </w:rPr>
        <w:t>S</w:t>
      </w:r>
      <w:r w:rsidR="00F3019D" w:rsidRPr="00F3019D">
        <w:t>,</w:t>
      </w:r>
      <w:r w:rsidR="00375FD6">
        <w:rPr>
          <w:i/>
        </w:rPr>
        <w:t xml:space="preserve"> </w:t>
      </w:r>
      <w:r w:rsidR="00375FD6" w:rsidRPr="00375FD6">
        <w:t>is given by</w:t>
      </w:r>
    </w:p>
    <w:p w:rsidR="00D86D6D" w:rsidRDefault="003D1622" w:rsidP="00D93778">
      <w:pPr>
        <w:jc w:val="both"/>
        <w:rPr>
          <w:i/>
        </w:rPr>
      </w:pPr>
      <m:oMathPara>
        <m:oMath>
          <m:r>
            <w:rPr>
              <w:rFonts w:ascii="Cambria Math" w:hAnsi="Cambria Math"/>
            </w:rPr>
            <m:t>S =</m:t>
          </m:r>
          <m:sSub>
            <m:sSubPr>
              <m:ctrlPr>
                <w:rPr>
                  <w:rFonts w:ascii="Cambria Math" w:hAnsi="Cambria Math"/>
                  <w:i/>
                </w:rPr>
              </m:ctrlPr>
            </m:sSubPr>
            <m:e>
              <m:r>
                <w:rPr>
                  <w:rFonts w:ascii="Cambria Math" w:hAnsi="Cambria Math"/>
                </w:rPr>
                <m:t>W</m:t>
              </m:r>
            </m:e>
            <m:sub>
              <m:r>
                <w:rPr>
                  <w:rFonts w:ascii="Cambria Math" w:hAnsi="Cambria Math"/>
                </w:rPr>
                <m:t>ROI</m:t>
              </m:r>
            </m:sub>
          </m:sSub>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ROI</m:t>
              </m:r>
            </m:sub>
          </m:sSub>
        </m:oMath>
      </m:oMathPara>
    </w:p>
    <w:p w:rsidR="00F3019D" w:rsidRPr="00D86D6D" w:rsidRDefault="00F3019D" w:rsidP="00D93778">
      <w:pPr>
        <w:jc w:val="both"/>
        <w:rPr>
          <w:i/>
        </w:rPr>
      </w:pPr>
      <w:r>
        <w:t>In the special case where an ROI is</w:t>
      </w:r>
      <w:r w:rsidR="001739BE">
        <w:t xml:space="preserve"> homogenous,</w:t>
      </w:r>
      <w:r>
        <w:t xml:space="preserve"> </w:t>
      </w:r>
      <w:r w:rsidR="00C570F1">
        <w:t>spherical</w:t>
      </w:r>
      <w:r w:rsidR="001739BE">
        <w:t>,</w:t>
      </w:r>
      <w:r w:rsidR="00D86D6D">
        <w:t xml:space="preserve"> and </w:t>
      </w:r>
      <w:r w:rsidR="00C570F1">
        <w:t xml:space="preserve">is </w:t>
      </w:r>
      <w:r>
        <w:t xml:space="preserve">isolated from </w:t>
      </w:r>
      <w:r w:rsidR="00C570F1">
        <w:t>all other</w:t>
      </w:r>
      <w:r>
        <w:t xml:space="preserve"> sources of positrons (</w:t>
      </w:r>
      <w:r w:rsidRPr="003D1622">
        <w:rPr>
          <w:i/>
        </w:rPr>
        <w:t>i.e.</w:t>
      </w:r>
      <w:r w:rsidR="003D1622">
        <w:rPr>
          <w:i/>
        </w:rPr>
        <w:t>,</w:t>
      </w:r>
      <w:r w:rsidRPr="003D1622">
        <w:rPr>
          <w:i/>
        </w:rPr>
        <w:t xml:space="preserve"> </w:t>
      </w:r>
      <w:r>
        <w:t>a xenograft tumor that is far away from tissues</w:t>
      </w:r>
      <w:r w:rsidR="00C570F1">
        <w:t xml:space="preserve"> with</w:t>
      </w:r>
      <w:r>
        <w:t xml:space="preserve"> high tracer accumulation) then the </w:t>
      </w:r>
      <w:r w:rsidR="00C570F1">
        <w:t>dependence of</w:t>
      </w:r>
      <w:r>
        <w:t xml:space="preserve"> </w:t>
      </w:r>
      <m:oMath>
        <m:r>
          <w:rPr>
            <w:rFonts w:ascii="Cambria Math" w:hAnsi="Cambria Math"/>
          </w:rPr>
          <m:t>S</m:t>
        </m:r>
      </m:oMath>
      <w:r w:rsidR="00D86D6D">
        <w:t xml:space="preserve"> on the ROI </w:t>
      </w:r>
      <w:r w:rsidR="003D1622">
        <w:t>volume</w:t>
      </w:r>
      <w:r w:rsidR="00D86D6D">
        <w:t xml:space="preserve">, </w:t>
      </w:r>
      <m:oMath>
        <m:r>
          <w:rPr>
            <w:rFonts w:ascii="Cambria Math" w:hAnsi="Cambria Math"/>
          </w:rPr>
          <m:t>V</m:t>
        </m:r>
      </m:oMath>
      <w:r w:rsidR="00C570F1">
        <w:rPr>
          <w:i/>
        </w:rPr>
        <w:t>,</w:t>
      </w:r>
      <w:r w:rsidR="00C570F1">
        <w:t xml:space="preserve"> can be calculated</w:t>
      </w:r>
      <w:r w:rsidR="001739BE">
        <w:t>:</w:t>
      </w:r>
    </w:p>
    <w:p w:rsidR="00A71F32" w:rsidRPr="00C570F1" w:rsidRDefault="003D1622" w:rsidP="00D93778">
      <w:pPr>
        <w:jc w:val="both"/>
        <w:rPr>
          <w:i/>
        </w:rPr>
      </w:pPr>
      <m:oMathPara>
        <m:oMath>
          <m:r>
            <w:rPr>
              <w:rFonts w:ascii="Cambria Math" w:hAnsi="Cambria Math"/>
            </w:rPr>
            <m:t xml:space="preserve">S(V) = </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ROI</m:t>
                  </m:r>
                </m:sub>
              </m:sSub>
            </m:num>
            <m:den>
              <m:nary>
                <m:naryPr>
                  <m:limLoc m:val="subSup"/>
                  <m:ctrlPr>
                    <w:rPr>
                      <w:rFonts w:ascii="Cambria Math" w:hAnsi="Cambria Math"/>
                      <w:i/>
                    </w:rPr>
                  </m:ctrlPr>
                </m:naryPr>
                <m:sub>
                  <m:r>
                    <w:rPr>
                      <w:rFonts w:ascii="Cambria Math" w:hAnsi="Cambria Math"/>
                    </w:rPr>
                    <m:t>β+range</m:t>
                  </m:r>
                </m:sub>
                <m:sup>
                  <m:r>
                    <w:rPr>
                      <w:rFonts w:ascii="Cambria Math" w:hAnsi="Cambria Math"/>
                    </w:rPr>
                    <m:t xml:space="preserve"> </m:t>
                  </m:r>
                </m:sup>
                <m:e>
                  <m:r>
                    <w:rPr>
                      <w:rFonts w:ascii="Cambria Math" w:hAnsi="Cambria Math"/>
                    </w:rPr>
                    <m:t>H(r)dr</m:t>
                  </m:r>
                </m:e>
              </m:nary>
            </m:den>
          </m:f>
        </m:oMath>
      </m:oMathPara>
    </w:p>
    <w:p w:rsidR="003D1622" w:rsidRDefault="00C570F1" w:rsidP="00BE3570">
      <w:pPr>
        <w:jc w:val="both"/>
      </w:pPr>
      <w:r>
        <w:t>This</w:t>
      </w:r>
      <w:r w:rsidR="001739BE">
        <w:t xml:space="preserve"> result</w:t>
      </w:r>
      <w:r>
        <w:t xml:space="preserve"> can be validated experimentally with phantoms</w:t>
      </w:r>
      <w:r w:rsidR="001739BE">
        <w:t xml:space="preserve">, which was done in the present case with a series of test-tubes, all containing an equal amount of radioactivity roughly (300kBq of </w:t>
      </w:r>
      <w:r w:rsidR="001739BE" w:rsidRPr="00665922">
        <w:rPr>
          <w:vertAlign w:val="superscript"/>
        </w:rPr>
        <w:t>140</w:t>
      </w:r>
      <w:r w:rsidR="001739BE">
        <w:t>Nd/</w:t>
      </w:r>
      <w:r w:rsidR="001739BE" w:rsidRPr="00665922">
        <w:rPr>
          <w:vertAlign w:val="superscript"/>
        </w:rPr>
        <w:t>140</w:t>
      </w:r>
      <w:r w:rsidR="001739BE">
        <w:t>Pr in equilibrium), but diluted with different amounts of aqueous solution, ranging from 10</w:t>
      </w:r>
      <w:r w:rsidR="00665922">
        <w:t xml:space="preserve"> µL</w:t>
      </w:r>
      <w:r w:rsidR="001739BE">
        <w:t xml:space="preserve"> to 1000</w:t>
      </w:r>
      <w:r w:rsidR="00665922">
        <w:t xml:space="preserve"> µL</w:t>
      </w:r>
      <w:r w:rsidR="001739BE">
        <w:t xml:space="preserve">. </w:t>
      </w:r>
      <w:r w:rsidR="003D1622">
        <w:t xml:space="preserve">The tubes were scanned using the methodology described in the text for the small animal imaging. </w:t>
      </w:r>
    </w:p>
    <w:p w:rsidR="001739BE" w:rsidRDefault="001739BE" w:rsidP="00BE3570">
      <w:pPr>
        <w:jc w:val="both"/>
      </w:pPr>
      <w:r>
        <w:t xml:space="preserve">Although the shapes of the phantom drops were not exactly spherical, the result agreed well with the calculation (figure S1). This phantom experiment is not meant to reflect a rigorous mathematical treatment of the partial volume correction. Instead intended to show that the partial volume effect can significantly alter the ROI quantification, especially for small ROI volumes. While this effect is often neglected in small animal imaging, when high energy positrons are used the correction cannot be assumed to be negligible. </w:t>
      </w:r>
    </w:p>
    <w:p w:rsidR="00100570" w:rsidRDefault="001739BE" w:rsidP="00BE3570">
      <w:pPr>
        <w:jc w:val="both"/>
      </w:pPr>
      <w:r>
        <w:t xml:space="preserve">Using the partial volume correction factor </w:t>
      </w:r>
      <m:oMath>
        <m:r>
          <w:rPr>
            <w:rFonts w:ascii="Cambria Math" w:hAnsi="Cambria Math"/>
          </w:rPr>
          <m:t>S(V)</m:t>
        </m:r>
      </m:oMath>
      <w:r>
        <w:t xml:space="preserve">, as a function of ROI volume, the PET quantifications from the manuscript can be rescaled. The results are shown in table S1 compared to the </w:t>
      </w:r>
      <w:r w:rsidRPr="003D1622">
        <w:rPr>
          <w:i/>
        </w:rPr>
        <w:t>ex vivo</w:t>
      </w:r>
      <w:r>
        <w:t xml:space="preserve"> </w:t>
      </w:r>
      <w:proofErr w:type="spellStart"/>
      <w:r w:rsidR="00100570">
        <w:t>biodistribution</w:t>
      </w:r>
      <w:proofErr w:type="spellEnd"/>
      <w:r w:rsidR="00100570">
        <w:t xml:space="preserve"> data. As stated above, although the mathematical treatment is not rigorous, the re</w:t>
      </w:r>
      <w:bookmarkStart w:id="0" w:name="_GoBack"/>
      <w:bookmarkEnd w:id="0"/>
      <w:r w:rsidR="00100570">
        <w:t xml:space="preserve">sults of the rescaling show that the </w:t>
      </w:r>
      <w:proofErr w:type="spellStart"/>
      <w:r w:rsidR="00100570">
        <w:t>biodistribution</w:t>
      </w:r>
      <w:proofErr w:type="spellEnd"/>
      <w:r w:rsidR="00100570">
        <w:t xml:space="preserve"> and PET data are </w:t>
      </w:r>
      <w:r w:rsidR="00F12D1D">
        <w:t xml:space="preserve">better </w:t>
      </w:r>
      <w:r w:rsidR="00100570">
        <w:t>reconcil</w:t>
      </w:r>
      <w:r w:rsidR="00F12D1D">
        <w:t>ed</w:t>
      </w:r>
      <w:r w:rsidR="00100570">
        <w:t xml:space="preserve">. </w:t>
      </w:r>
      <w:r w:rsidR="00F12D1D">
        <w:t xml:space="preserve">A more complete approach to the partial volume correction may lead to better agreement for the PET and well-counter data. </w:t>
      </w:r>
    </w:p>
    <w:p w:rsidR="001A53A1" w:rsidRDefault="007B5E2C" w:rsidP="001A53A1">
      <w:pPr>
        <w:jc w:val="both"/>
      </w:pPr>
      <w:r>
        <w:rPr>
          <w:noProof/>
        </w:rPr>
        <w:lastRenderedPageBreak/>
        <w:drawing>
          <wp:inline distT="0" distB="0" distL="0" distR="0" wp14:anchorId="5B429BC8" wp14:editId="26657F6E">
            <wp:extent cx="5943600" cy="4280535"/>
            <wp:effectExtent l="0" t="0" r="0" b="571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001A53A1" w:rsidRPr="001A53A1">
        <w:rPr>
          <w:b/>
        </w:rPr>
        <w:t xml:space="preserve"> </w:t>
      </w:r>
      <w:r w:rsidR="001A53A1" w:rsidRPr="001A53A1">
        <w:rPr>
          <w:b/>
        </w:rPr>
        <w:t>Figure S1:</w:t>
      </w:r>
      <w:r w:rsidR="001A53A1">
        <w:t xml:space="preserve"> The partial volume effect is visualized as the percentage of intra-ROI </w:t>
      </w:r>
      <w:r w:rsidR="001A53A1" w:rsidRPr="007B5E2C">
        <w:rPr>
          <w:vertAlign w:val="superscript"/>
        </w:rPr>
        <w:t>140</w:t>
      </w:r>
      <w:r w:rsidR="001A53A1">
        <w:t xml:space="preserve">Pr decays that lead to annihilation events inside the ROI as a function of ROI volume. Or, in other words, the percentage of positrons emitted in the ROI that also annihilate in the ROI. The curve shows the spherical phantom model calculation and the points show the test-tube phantom result. </w:t>
      </w:r>
    </w:p>
    <w:p w:rsidR="007B5E2C" w:rsidRDefault="007B5E2C" w:rsidP="00BE3570">
      <w:pPr>
        <w:jc w:val="both"/>
      </w:pPr>
    </w:p>
    <w:p w:rsidR="003D1622" w:rsidRDefault="003D1622" w:rsidP="003D1622">
      <w:pPr>
        <w:jc w:val="both"/>
      </w:pPr>
      <w:r w:rsidRPr="001A53A1">
        <w:rPr>
          <w:b/>
        </w:rPr>
        <w:t>Table S1</w:t>
      </w:r>
      <w:r w:rsidR="001A53A1" w:rsidRPr="001A53A1">
        <w:rPr>
          <w:b/>
        </w:rPr>
        <w:t>:</w:t>
      </w:r>
      <w:r w:rsidR="001A53A1">
        <w:t xml:space="preserve"> A comparison of the tumor post-mortem PET signal in %IS/g with the partial volume corrected PET signal (PVC-PET) in %ID/g and the ex-vivo well counter results in %ID/g. The partial volume correction was implemented by scaling dividing the PET result by </w:t>
      </w:r>
      <m:oMath>
        <m:r>
          <w:rPr>
            <w:rFonts w:ascii="Cambria Math" w:hAnsi="Cambria Math"/>
          </w:rPr>
          <m:t>S(V)</m:t>
        </m:r>
      </m:oMath>
      <w:r w:rsidR="001A53A1">
        <w:t xml:space="preserve"> from the calculation shown in Figure S1.  </w:t>
      </w:r>
    </w:p>
    <w:tbl>
      <w:tblPr>
        <w:tblW w:w="5220" w:type="dxa"/>
        <w:tblLook w:val="04A0" w:firstRow="1" w:lastRow="0" w:firstColumn="1" w:lastColumn="0" w:noHBand="0" w:noVBand="1"/>
      </w:tblPr>
      <w:tblGrid>
        <w:gridCol w:w="1496"/>
        <w:gridCol w:w="1204"/>
        <w:gridCol w:w="1146"/>
        <w:gridCol w:w="1374"/>
      </w:tblGrid>
      <w:tr w:rsidR="004133A6" w:rsidRPr="004133A6" w:rsidTr="001A53A1">
        <w:trPr>
          <w:trHeight w:val="300"/>
        </w:trPr>
        <w:tc>
          <w:tcPr>
            <w:tcW w:w="1496" w:type="dxa"/>
            <w:tcBorders>
              <w:top w:val="nil"/>
              <w:left w:val="nil"/>
              <w:bottom w:val="nil"/>
              <w:right w:val="nil"/>
            </w:tcBorders>
            <w:shd w:val="clear" w:color="auto" w:fill="auto"/>
            <w:noWrap/>
            <w:vAlign w:val="bottom"/>
            <w:hideMark/>
          </w:tcPr>
          <w:p w:rsidR="004133A6" w:rsidRPr="004133A6" w:rsidRDefault="004133A6" w:rsidP="004133A6">
            <w:pPr>
              <w:spacing w:after="0" w:line="240" w:lineRule="auto"/>
              <w:rPr>
                <w:rFonts w:ascii="Times New Roman" w:eastAsia="Times New Roman" w:hAnsi="Times New Roman" w:cs="Times New Roman"/>
                <w:sz w:val="24"/>
                <w:szCs w:val="24"/>
              </w:rPr>
            </w:pPr>
          </w:p>
        </w:tc>
        <w:tc>
          <w:tcPr>
            <w:tcW w:w="1204" w:type="dxa"/>
            <w:tcBorders>
              <w:top w:val="nil"/>
              <w:left w:val="nil"/>
              <w:bottom w:val="nil"/>
              <w:right w:val="single" w:sz="4" w:space="0" w:color="auto"/>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b/>
                <w:bCs/>
                <w:color w:val="000000"/>
              </w:rPr>
            </w:pPr>
            <w:r w:rsidRPr="004133A6">
              <w:rPr>
                <w:rFonts w:ascii="Calibri" w:eastAsia="Times New Roman" w:hAnsi="Calibri" w:cs="Times New Roman"/>
                <w:b/>
                <w:bCs/>
                <w:color w:val="000000"/>
              </w:rPr>
              <w:t>PET</w:t>
            </w:r>
          </w:p>
        </w:tc>
        <w:tc>
          <w:tcPr>
            <w:tcW w:w="1146" w:type="dxa"/>
            <w:tcBorders>
              <w:top w:val="nil"/>
              <w:left w:val="nil"/>
              <w:bottom w:val="nil"/>
              <w:right w:val="single" w:sz="4" w:space="0" w:color="auto"/>
            </w:tcBorders>
            <w:shd w:val="clear" w:color="auto" w:fill="auto"/>
            <w:noWrap/>
            <w:vAlign w:val="bottom"/>
            <w:hideMark/>
          </w:tcPr>
          <w:p w:rsidR="004133A6" w:rsidRPr="004133A6" w:rsidRDefault="001A53A1" w:rsidP="001A53A1">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PVC-</w:t>
            </w:r>
            <w:r w:rsidR="004133A6" w:rsidRPr="004133A6">
              <w:rPr>
                <w:rFonts w:ascii="Calibri" w:eastAsia="Times New Roman" w:hAnsi="Calibri" w:cs="Times New Roman"/>
                <w:b/>
                <w:bCs/>
                <w:color w:val="000000"/>
              </w:rPr>
              <w:t>PET</w:t>
            </w:r>
          </w:p>
        </w:tc>
        <w:tc>
          <w:tcPr>
            <w:tcW w:w="1374" w:type="dxa"/>
            <w:tcBorders>
              <w:top w:val="nil"/>
              <w:left w:val="nil"/>
              <w:bottom w:val="nil"/>
              <w:right w:val="nil"/>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b/>
                <w:bCs/>
                <w:color w:val="000000"/>
              </w:rPr>
            </w:pPr>
            <w:r w:rsidRPr="004133A6">
              <w:rPr>
                <w:rFonts w:ascii="Calibri" w:eastAsia="Times New Roman" w:hAnsi="Calibri" w:cs="Times New Roman"/>
                <w:b/>
                <w:bCs/>
                <w:color w:val="000000"/>
              </w:rPr>
              <w:t>well counter</w:t>
            </w:r>
          </w:p>
        </w:tc>
      </w:tr>
      <w:tr w:rsidR="004133A6" w:rsidRPr="004133A6" w:rsidTr="001A53A1">
        <w:trPr>
          <w:trHeight w:val="300"/>
        </w:trPr>
        <w:tc>
          <w:tcPr>
            <w:tcW w:w="1496" w:type="dxa"/>
            <w:tcBorders>
              <w:top w:val="nil"/>
              <w:left w:val="nil"/>
              <w:bottom w:val="nil"/>
              <w:right w:val="nil"/>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b/>
                <w:bCs/>
                <w:color w:val="000000"/>
              </w:rPr>
            </w:pPr>
          </w:p>
        </w:tc>
        <w:tc>
          <w:tcPr>
            <w:tcW w:w="1204" w:type="dxa"/>
            <w:tcBorders>
              <w:top w:val="nil"/>
              <w:left w:val="nil"/>
              <w:bottom w:val="single" w:sz="4" w:space="0" w:color="auto"/>
              <w:right w:val="single" w:sz="4" w:space="0" w:color="auto"/>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%IS/g</w:t>
            </w:r>
          </w:p>
        </w:tc>
        <w:tc>
          <w:tcPr>
            <w:tcW w:w="1146" w:type="dxa"/>
            <w:tcBorders>
              <w:top w:val="nil"/>
              <w:left w:val="nil"/>
              <w:bottom w:val="single" w:sz="4" w:space="0" w:color="auto"/>
              <w:right w:val="single" w:sz="4" w:space="0" w:color="auto"/>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%ID/g</w:t>
            </w:r>
          </w:p>
        </w:tc>
        <w:tc>
          <w:tcPr>
            <w:tcW w:w="1374" w:type="dxa"/>
            <w:tcBorders>
              <w:top w:val="nil"/>
              <w:left w:val="nil"/>
              <w:bottom w:val="single" w:sz="4" w:space="0" w:color="auto"/>
              <w:right w:val="nil"/>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%ID/g</w:t>
            </w:r>
          </w:p>
        </w:tc>
      </w:tr>
      <w:tr w:rsidR="004133A6" w:rsidRPr="004133A6" w:rsidTr="001A53A1">
        <w:trPr>
          <w:trHeight w:val="600"/>
        </w:trPr>
        <w:tc>
          <w:tcPr>
            <w:tcW w:w="1496" w:type="dxa"/>
            <w:tcBorders>
              <w:top w:val="nil"/>
              <w:left w:val="nil"/>
              <w:bottom w:val="single" w:sz="4" w:space="0" w:color="auto"/>
              <w:right w:val="single" w:sz="4" w:space="0" w:color="auto"/>
            </w:tcBorders>
            <w:shd w:val="clear" w:color="auto" w:fill="auto"/>
            <w:vAlign w:val="bottom"/>
            <w:hideMark/>
          </w:tcPr>
          <w:p w:rsidR="004133A6" w:rsidRPr="004133A6" w:rsidRDefault="004133A6" w:rsidP="004133A6">
            <w:pPr>
              <w:spacing w:after="0" w:line="240" w:lineRule="auto"/>
              <w:jc w:val="center"/>
              <w:rPr>
                <w:rFonts w:ascii="Calibri" w:eastAsia="Times New Roman" w:hAnsi="Calibri" w:cs="Times New Roman"/>
                <w:b/>
                <w:bCs/>
                <w:color w:val="000000"/>
              </w:rPr>
            </w:pPr>
            <w:r w:rsidRPr="004133A6">
              <w:rPr>
                <w:rFonts w:ascii="Calibri" w:eastAsia="Times New Roman" w:hAnsi="Calibri" w:cs="Times New Roman"/>
                <w:b/>
                <w:bCs/>
                <w:color w:val="000000"/>
              </w:rPr>
              <w:t>5MBq/</w:t>
            </w:r>
            <w:proofErr w:type="spellStart"/>
            <w:r w:rsidRPr="004133A6">
              <w:rPr>
                <w:rFonts w:ascii="Calibri" w:eastAsia="Times New Roman" w:hAnsi="Calibri" w:cs="Times New Roman"/>
                <w:b/>
                <w:bCs/>
                <w:color w:val="000000"/>
              </w:rPr>
              <w:t>nmol</w:t>
            </w:r>
            <w:proofErr w:type="spellEnd"/>
            <w:r w:rsidRPr="004133A6">
              <w:rPr>
                <w:rFonts w:ascii="Calibri" w:eastAsia="Times New Roman" w:hAnsi="Calibri" w:cs="Times New Roman"/>
                <w:b/>
                <w:bCs/>
                <w:color w:val="000000"/>
              </w:rPr>
              <w:t xml:space="preserve"> DOTA-LM3</w:t>
            </w:r>
          </w:p>
        </w:tc>
        <w:tc>
          <w:tcPr>
            <w:tcW w:w="1204" w:type="dxa"/>
            <w:tcBorders>
              <w:top w:val="nil"/>
              <w:left w:val="nil"/>
              <w:bottom w:val="single" w:sz="4" w:space="0" w:color="auto"/>
              <w:right w:val="single" w:sz="4" w:space="0" w:color="auto"/>
            </w:tcBorders>
            <w:shd w:val="clear" w:color="auto" w:fill="auto"/>
            <w:noWrap/>
            <w:vAlign w:val="bottom"/>
            <w:hideMark/>
          </w:tcPr>
          <w:p w:rsidR="004133A6" w:rsidRPr="004133A6" w:rsidRDefault="004133A6" w:rsidP="004133A6">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0.4</w:t>
            </w:r>
            <w:r w:rsidR="001A53A1">
              <w:rPr>
                <w:rFonts w:ascii="Calibri" w:eastAsia="Times New Roman" w:hAnsi="Calibri" w:cs="Times New Roman"/>
                <w:color w:val="000000"/>
              </w:rPr>
              <w:t>0 ±0.15</w:t>
            </w:r>
          </w:p>
        </w:tc>
        <w:tc>
          <w:tcPr>
            <w:tcW w:w="1146" w:type="dxa"/>
            <w:tcBorders>
              <w:top w:val="nil"/>
              <w:left w:val="nil"/>
              <w:bottom w:val="single" w:sz="4" w:space="0" w:color="auto"/>
              <w:right w:val="single" w:sz="4" w:space="0" w:color="auto"/>
            </w:tcBorders>
            <w:shd w:val="clear" w:color="auto" w:fill="auto"/>
            <w:vAlign w:val="bottom"/>
            <w:hideMark/>
          </w:tcPr>
          <w:p w:rsidR="004133A6" w:rsidRPr="004133A6" w:rsidRDefault="004133A6" w:rsidP="001A53A1">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 xml:space="preserve">3.0 </w:t>
            </w:r>
            <w:r w:rsidR="001A53A1">
              <w:rPr>
                <w:rFonts w:ascii="Calibri" w:eastAsia="Times New Roman" w:hAnsi="Calibri" w:cs="Times New Roman"/>
                <w:color w:val="000000"/>
              </w:rPr>
              <w:t xml:space="preserve"> </w:t>
            </w:r>
            <w:r w:rsidR="001A53A1">
              <w:rPr>
                <w:rFonts w:ascii="Calibri" w:eastAsia="Times New Roman" w:hAnsi="Calibri" w:cs="Times New Roman"/>
                <w:color w:val="000000"/>
              </w:rPr>
              <w:t>±</w:t>
            </w:r>
            <w:r w:rsidRPr="004133A6">
              <w:rPr>
                <w:rFonts w:ascii="Calibri" w:eastAsia="Times New Roman" w:hAnsi="Calibri" w:cs="Times New Roman"/>
                <w:color w:val="000000"/>
              </w:rPr>
              <w:t>1.0</w:t>
            </w:r>
          </w:p>
        </w:tc>
        <w:tc>
          <w:tcPr>
            <w:tcW w:w="1374" w:type="dxa"/>
            <w:tcBorders>
              <w:top w:val="nil"/>
              <w:left w:val="nil"/>
              <w:bottom w:val="single" w:sz="4" w:space="0" w:color="auto"/>
              <w:right w:val="nil"/>
            </w:tcBorders>
            <w:shd w:val="clear" w:color="auto" w:fill="auto"/>
            <w:noWrap/>
            <w:vAlign w:val="bottom"/>
            <w:hideMark/>
          </w:tcPr>
          <w:p w:rsidR="004133A6" w:rsidRPr="004133A6" w:rsidRDefault="00F12D1D" w:rsidP="004133A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6.3 </w:t>
            </w:r>
            <w:r w:rsidR="001A53A1">
              <w:rPr>
                <w:rFonts w:ascii="Calibri" w:eastAsia="Times New Roman" w:hAnsi="Calibri" w:cs="Times New Roman"/>
                <w:color w:val="000000"/>
              </w:rPr>
              <w:t>±</w:t>
            </w:r>
            <w:r>
              <w:rPr>
                <w:rFonts w:ascii="Calibri" w:eastAsia="Times New Roman" w:hAnsi="Calibri" w:cs="Times New Roman"/>
                <w:color w:val="000000"/>
              </w:rPr>
              <w:t>2.3</w:t>
            </w:r>
          </w:p>
        </w:tc>
      </w:tr>
      <w:tr w:rsidR="004133A6" w:rsidRPr="004133A6" w:rsidTr="001A53A1">
        <w:trPr>
          <w:trHeight w:val="600"/>
        </w:trPr>
        <w:tc>
          <w:tcPr>
            <w:tcW w:w="1496" w:type="dxa"/>
            <w:tcBorders>
              <w:top w:val="nil"/>
              <w:left w:val="nil"/>
              <w:bottom w:val="single" w:sz="4" w:space="0" w:color="auto"/>
              <w:right w:val="single" w:sz="4" w:space="0" w:color="auto"/>
            </w:tcBorders>
            <w:shd w:val="clear" w:color="auto" w:fill="auto"/>
            <w:vAlign w:val="bottom"/>
            <w:hideMark/>
          </w:tcPr>
          <w:p w:rsidR="004133A6" w:rsidRPr="004133A6" w:rsidRDefault="004133A6" w:rsidP="004133A6">
            <w:pPr>
              <w:spacing w:after="0" w:line="240" w:lineRule="auto"/>
              <w:jc w:val="center"/>
              <w:rPr>
                <w:rFonts w:ascii="Calibri" w:eastAsia="Times New Roman" w:hAnsi="Calibri" w:cs="Times New Roman"/>
                <w:b/>
                <w:bCs/>
                <w:color w:val="000000"/>
              </w:rPr>
            </w:pPr>
            <w:r w:rsidRPr="004133A6">
              <w:rPr>
                <w:rFonts w:ascii="Calibri" w:eastAsia="Times New Roman" w:hAnsi="Calibri" w:cs="Times New Roman"/>
                <w:b/>
                <w:bCs/>
                <w:color w:val="000000"/>
              </w:rPr>
              <w:t>2.5MBq/</w:t>
            </w:r>
            <w:proofErr w:type="spellStart"/>
            <w:r w:rsidRPr="004133A6">
              <w:rPr>
                <w:rFonts w:ascii="Calibri" w:eastAsia="Times New Roman" w:hAnsi="Calibri" w:cs="Times New Roman"/>
                <w:b/>
                <w:bCs/>
                <w:color w:val="000000"/>
              </w:rPr>
              <w:t>nmol</w:t>
            </w:r>
            <w:proofErr w:type="spellEnd"/>
            <w:r w:rsidRPr="004133A6">
              <w:rPr>
                <w:rFonts w:ascii="Calibri" w:eastAsia="Times New Roman" w:hAnsi="Calibri" w:cs="Times New Roman"/>
                <w:b/>
                <w:bCs/>
                <w:color w:val="000000"/>
              </w:rPr>
              <w:t xml:space="preserve"> DOTA-LM3</w:t>
            </w:r>
          </w:p>
        </w:tc>
        <w:tc>
          <w:tcPr>
            <w:tcW w:w="1204" w:type="dxa"/>
            <w:tcBorders>
              <w:top w:val="nil"/>
              <w:left w:val="nil"/>
              <w:bottom w:val="single" w:sz="4" w:space="0" w:color="auto"/>
              <w:right w:val="single" w:sz="4" w:space="0" w:color="auto"/>
            </w:tcBorders>
            <w:shd w:val="clear" w:color="auto" w:fill="auto"/>
            <w:noWrap/>
            <w:vAlign w:val="bottom"/>
            <w:hideMark/>
          </w:tcPr>
          <w:p w:rsidR="004133A6" w:rsidRPr="004133A6" w:rsidRDefault="004133A6" w:rsidP="001A53A1">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 xml:space="preserve">0.19 </w:t>
            </w:r>
            <w:r w:rsidR="001A53A1">
              <w:rPr>
                <w:rFonts w:ascii="Calibri" w:eastAsia="Times New Roman" w:hAnsi="Calibri" w:cs="Times New Roman"/>
                <w:color w:val="000000"/>
              </w:rPr>
              <w:t>±</w:t>
            </w:r>
            <w:r w:rsidRPr="004133A6">
              <w:rPr>
                <w:rFonts w:ascii="Calibri" w:eastAsia="Times New Roman" w:hAnsi="Calibri" w:cs="Times New Roman"/>
                <w:color w:val="000000"/>
              </w:rPr>
              <w:t>0.07</w:t>
            </w:r>
          </w:p>
        </w:tc>
        <w:tc>
          <w:tcPr>
            <w:tcW w:w="1146" w:type="dxa"/>
            <w:tcBorders>
              <w:top w:val="nil"/>
              <w:left w:val="nil"/>
              <w:bottom w:val="single" w:sz="4" w:space="0" w:color="auto"/>
              <w:right w:val="single" w:sz="4" w:space="0" w:color="auto"/>
            </w:tcBorders>
            <w:shd w:val="clear" w:color="auto" w:fill="auto"/>
            <w:vAlign w:val="bottom"/>
            <w:hideMark/>
          </w:tcPr>
          <w:p w:rsidR="004133A6" w:rsidRPr="004133A6" w:rsidRDefault="001A53A1" w:rsidP="004133A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1.5 </w:t>
            </w:r>
            <w:r>
              <w:rPr>
                <w:rFonts w:ascii="Calibri" w:eastAsia="Times New Roman" w:hAnsi="Calibri" w:cs="Times New Roman"/>
                <w:color w:val="000000"/>
              </w:rPr>
              <w:t>±</w:t>
            </w:r>
            <w:r>
              <w:rPr>
                <w:rFonts w:ascii="Calibri" w:eastAsia="Times New Roman" w:hAnsi="Calibri" w:cs="Times New Roman"/>
                <w:color w:val="000000"/>
              </w:rPr>
              <w:t>0.4</w:t>
            </w:r>
          </w:p>
        </w:tc>
        <w:tc>
          <w:tcPr>
            <w:tcW w:w="1374" w:type="dxa"/>
            <w:tcBorders>
              <w:top w:val="nil"/>
              <w:left w:val="nil"/>
              <w:bottom w:val="single" w:sz="4" w:space="0" w:color="auto"/>
              <w:right w:val="nil"/>
            </w:tcBorders>
            <w:shd w:val="clear" w:color="auto" w:fill="auto"/>
            <w:noWrap/>
            <w:vAlign w:val="bottom"/>
            <w:hideMark/>
          </w:tcPr>
          <w:p w:rsidR="004133A6" w:rsidRPr="004133A6" w:rsidRDefault="00F12D1D" w:rsidP="004133A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3.7 </w:t>
            </w:r>
            <w:r w:rsidR="001A53A1">
              <w:rPr>
                <w:rFonts w:ascii="Calibri" w:eastAsia="Times New Roman" w:hAnsi="Calibri" w:cs="Times New Roman"/>
                <w:color w:val="000000"/>
              </w:rPr>
              <w:t>±</w:t>
            </w:r>
            <w:r>
              <w:rPr>
                <w:rFonts w:ascii="Calibri" w:eastAsia="Times New Roman" w:hAnsi="Calibri" w:cs="Times New Roman"/>
                <w:color w:val="000000"/>
              </w:rPr>
              <w:t>1.3</w:t>
            </w:r>
          </w:p>
        </w:tc>
      </w:tr>
      <w:tr w:rsidR="004133A6" w:rsidRPr="004133A6" w:rsidTr="001A53A1">
        <w:trPr>
          <w:trHeight w:val="600"/>
        </w:trPr>
        <w:tc>
          <w:tcPr>
            <w:tcW w:w="1496" w:type="dxa"/>
            <w:tcBorders>
              <w:top w:val="nil"/>
              <w:left w:val="nil"/>
              <w:bottom w:val="nil"/>
              <w:right w:val="single" w:sz="4" w:space="0" w:color="auto"/>
            </w:tcBorders>
            <w:shd w:val="clear" w:color="auto" w:fill="auto"/>
            <w:vAlign w:val="bottom"/>
            <w:hideMark/>
          </w:tcPr>
          <w:p w:rsidR="004133A6" w:rsidRPr="004133A6" w:rsidRDefault="004133A6" w:rsidP="004133A6">
            <w:pPr>
              <w:spacing w:after="0" w:line="240" w:lineRule="auto"/>
              <w:jc w:val="center"/>
              <w:rPr>
                <w:rFonts w:ascii="Calibri" w:eastAsia="Times New Roman" w:hAnsi="Calibri" w:cs="Times New Roman"/>
                <w:b/>
                <w:bCs/>
                <w:color w:val="000000"/>
              </w:rPr>
            </w:pPr>
            <w:r w:rsidRPr="004133A6">
              <w:rPr>
                <w:rFonts w:ascii="Calibri" w:eastAsia="Times New Roman" w:hAnsi="Calibri" w:cs="Times New Roman"/>
                <w:b/>
                <w:bCs/>
                <w:color w:val="000000"/>
                <w:vertAlign w:val="superscript"/>
              </w:rPr>
              <w:t>140</w:t>
            </w:r>
            <w:r w:rsidRPr="004133A6">
              <w:rPr>
                <w:rFonts w:ascii="Calibri" w:eastAsia="Times New Roman" w:hAnsi="Calibri" w:cs="Times New Roman"/>
                <w:b/>
                <w:bCs/>
                <w:color w:val="000000"/>
              </w:rPr>
              <w:t>Nd in saline</w:t>
            </w:r>
          </w:p>
        </w:tc>
        <w:tc>
          <w:tcPr>
            <w:tcW w:w="1204" w:type="dxa"/>
            <w:tcBorders>
              <w:top w:val="nil"/>
              <w:left w:val="nil"/>
              <w:bottom w:val="nil"/>
              <w:right w:val="single" w:sz="4" w:space="0" w:color="auto"/>
            </w:tcBorders>
            <w:shd w:val="clear" w:color="auto" w:fill="auto"/>
            <w:noWrap/>
            <w:vAlign w:val="bottom"/>
            <w:hideMark/>
          </w:tcPr>
          <w:p w:rsidR="004133A6" w:rsidRPr="004133A6" w:rsidRDefault="004133A6" w:rsidP="001A53A1">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0.26</w:t>
            </w:r>
            <w:r w:rsidR="001A53A1">
              <w:rPr>
                <w:rFonts w:ascii="Calibri" w:eastAsia="Times New Roman" w:hAnsi="Calibri" w:cs="Times New Roman"/>
                <w:color w:val="000000"/>
              </w:rPr>
              <w:t xml:space="preserve"> </w:t>
            </w:r>
            <w:r w:rsidR="001A53A1">
              <w:rPr>
                <w:rFonts w:ascii="Calibri" w:eastAsia="Times New Roman" w:hAnsi="Calibri" w:cs="Times New Roman"/>
                <w:color w:val="000000"/>
              </w:rPr>
              <w:t>±</w:t>
            </w:r>
            <w:r w:rsidRPr="004133A6">
              <w:rPr>
                <w:rFonts w:ascii="Calibri" w:eastAsia="Times New Roman" w:hAnsi="Calibri" w:cs="Times New Roman"/>
                <w:color w:val="000000"/>
              </w:rPr>
              <w:t>0.04</w:t>
            </w:r>
          </w:p>
        </w:tc>
        <w:tc>
          <w:tcPr>
            <w:tcW w:w="1146" w:type="dxa"/>
            <w:tcBorders>
              <w:top w:val="nil"/>
              <w:left w:val="nil"/>
              <w:bottom w:val="nil"/>
              <w:right w:val="single" w:sz="4" w:space="0" w:color="auto"/>
            </w:tcBorders>
            <w:shd w:val="clear" w:color="auto" w:fill="auto"/>
            <w:vAlign w:val="bottom"/>
            <w:hideMark/>
          </w:tcPr>
          <w:p w:rsidR="004133A6" w:rsidRPr="004133A6" w:rsidRDefault="004133A6" w:rsidP="001A53A1">
            <w:pPr>
              <w:spacing w:after="0" w:line="240" w:lineRule="auto"/>
              <w:jc w:val="center"/>
              <w:rPr>
                <w:rFonts w:ascii="Calibri" w:eastAsia="Times New Roman" w:hAnsi="Calibri" w:cs="Times New Roman"/>
                <w:color w:val="000000"/>
              </w:rPr>
            </w:pPr>
            <w:r w:rsidRPr="004133A6">
              <w:rPr>
                <w:rFonts w:ascii="Calibri" w:eastAsia="Times New Roman" w:hAnsi="Calibri" w:cs="Times New Roman"/>
                <w:color w:val="000000"/>
              </w:rPr>
              <w:t>2.6</w:t>
            </w:r>
            <w:r w:rsidR="001A53A1">
              <w:rPr>
                <w:rFonts w:ascii="Calibri" w:eastAsia="Times New Roman" w:hAnsi="Calibri" w:cs="Times New Roman"/>
                <w:color w:val="000000"/>
              </w:rPr>
              <w:t xml:space="preserve"> </w:t>
            </w:r>
            <w:r w:rsidR="001A53A1">
              <w:rPr>
                <w:rFonts w:ascii="Calibri" w:eastAsia="Times New Roman" w:hAnsi="Calibri" w:cs="Times New Roman"/>
                <w:color w:val="000000"/>
              </w:rPr>
              <w:t>±</w:t>
            </w:r>
            <w:r w:rsidRPr="004133A6">
              <w:rPr>
                <w:rFonts w:ascii="Calibri" w:eastAsia="Times New Roman" w:hAnsi="Calibri" w:cs="Times New Roman"/>
                <w:color w:val="000000"/>
              </w:rPr>
              <w:t>1.1</w:t>
            </w:r>
          </w:p>
        </w:tc>
        <w:tc>
          <w:tcPr>
            <w:tcW w:w="1374" w:type="dxa"/>
            <w:tcBorders>
              <w:top w:val="nil"/>
              <w:left w:val="nil"/>
              <w:bottom w:val="nil"/>
              <w:right w:val="nil"/>
            </w:tcBorders>
            <w:shd w:val="clear" w:color="auto" w:fill="auto"/>
            <w:noWrap/>
            <w:vAlign w:val="bottom"/>
            <w:hideMark/>
          </w:tcPr>
          <w:p w:rsidR="004133A6" w:rsidRPr="004133A6" w:rsidRDefault="00F12D1D" w:rsidP="004133A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4.6 </w:t>
            </w:r>
            <w:r w:rsidR="001A53A1">
              <w:rPr>
                <w:rFonts w:ascii="Calibri" w:eastAsia="Times New Roman" w:hAnsi="Calibri" w:cs="Times New Roman"/>
                <w:color w:val="000000"/>
              </w:rPr>
              <w:t>±</w:t>
            </w:r>
            <w:r>
              <w:rPr>
                <w:rFonts w:ascii="Calibri" w:eastAsia="Times New Roman" w:hAnsi="Calibri" w:cs="Times New Roman"/>
                <w:color w:val="000000"/>
              </w:rPr>
              <w:t>2.3</w:t>
            </w:r>
          </w:p>
        </w:tc>
      </w:tr>
    </w:tbl>
    <w:p w:rsidR="004133A6" w:rsidRDefault="004133A6" w:rsidP="003D1622">
      <w:pPr>
        <w:jc w:val="both"/>
      </w:pPr>
    </w:p>
    <w:p w:rsidR="0041259A" w:rsidRDefault="0041259A" w:rsidP="00BE3570">
      <w:pPr>
        <w:jc w:val="both"/>
      </w:pPr>
    </w:p>
    <w:sectPr w:rsidR="004125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59A"/>
    <w:rsid w:val="00015D7A"/>
    <w:rsid w:val="00044DCB"/>
    <w:rsid w:val="00063D8A"/>
    <w:rsid w:val="00100570"/>
    <w:rsid w:val="001222A7"/>
    <w:rsid w:val="001739BE"/>
    <w:rsid w:val="001A53A1"/>
    <w:rsid w:val="00256F3A"/>
    <w:rsid w:val="00276D7F"/>
    <w:rsid w:val="00336D6B"/>
    <w:rsid w:val="00375FD6"/>
    <w:rsid w:val="003D1622"/>
    <w:rsid w:val="0041259A"/>
    <w:rsid w:val="004133A6"/>
    <w:rsid w:val="004A0DD6"/>
    <w:rsid w:val="00570BFD"/>
    <w:rsid w:val="005A4BE9"/>
    <w:rsid w:val="00665922"/>
    <w:rsid w:val="006740D9"/>
    <w:rsid w:val="006954A3"/>
    <w:rsid w:val="007618E6"/>
    <w:rsid w:val="007B5E2C"/>
    <w:rsid w:val="007D506A"/>
    <w:rsid w:val="007D6B6C"/>
    <w:rsid w:val="00887C84"/>
    <w:rsid w:val="0095130B"/>
    <w:rsid w:val="00A71F32"/>
    <w:rsid w:val="00B35C48"/>
    <w:rsid w:val="00BE3570"/>
    <w:rsid w:val="00C570F1"/>
    <w:rsid w:val="00CE63AA"/>
    <w:rsid w:val="00D86D6D"/>
    <w:rsid w:val="00D93778"/>
    <w:rsid w:val="00E306C1"/>
    <w:rsid w:val="00F12D1D"/>
    <w:rsid w:val="00F17D7F"/>
    <w:rsid w:val="00F3019D"/>
    <w:rsid w:val="00F70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FDBB6-17CF-4CF8-980D-82A82F76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92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gwseverin.CHEMISTRY\OneDrive%20-%20Michigan%20State%20University\partialVolumeCorrection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[partialVolumeCorrection1.xlsx]Sheet1!$L$52</c:f>
              <c:strCache>
                <c:ptCount val="1"/>
                <c:pt idx="0">
                  <c:v>Calculation</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[partialVolumeCorrection1.xlsx]Sheet1!$J$55:$J$61</c:f>
              <c:numCache>
                <c:formatCode>General</c:formatCode>
                <c:ptCount val="7"/>
                <c:pt idx="0">
                  <c:v>4.1887866666666662</c:v>
                </c:pt>
                <c:pt idx="1">
                  <c:v>33.51029333333333</c:v>
                </c:pt>
                <c:pt idx="2">
                  <c:v>113.09723999999999</c:v>
                </c:pt>
                <c:pt idx="3">
                  <c:v>268.08234666666664</c:v>
                </c:pt>
                <c:pt idx="4">
                  <c:v>523.59833333333324</c:v>
                </c:pt>
                <c:pt idx="5">
                  <c:v>904.77791999999988</c:v>
                </c:pt>
                <c:pt idx="6">
                  <c:v>1436.7538266666666</c:v>
                </c:pt>
              </c:numCache>
            </c:numRef>
          </c:xVal>
          <c:yVal>
            <c:numRef>
              <c:f>[partialVolumeCorrection1.xlsx]Sheet1!$L$55:$L$61</c:f>
              <c:numCache>
                <c:formatCode>General</c:formatCode>
                <c:ptCount val="7"/>
                <c:pt idx="0">
                  <c:v>2.1</c:v>
                </c:pt>
                <c:pt idx="1">
                  <c:v>6.6</c:v>
                </c:pt>
                <c:pt idx="2">
                  <c:v>13.3</c:v>
                </c:pt>
                <c:pt idx="3">
                  <c:v>21.6</c:v>
                </c:pt>
                <c:pt idx="4">
                  <c:v>30.3</c:v>
                </c:pt>
                <c:pt idx="5">
                  <c:v>38.5</c:v>
                </c:pt>
                <c:pt idx="6">
                  <c:v>45.4</c:v>
                </c:pt>
              </c:numCache>
            </c:numRef>
          </c:yVal>
          <c:smooth val="1"/>
          <c:extLst xmlns:c16r2="http://schemas.microsoft.com/office/drawing/2015/06/chart">
            <c:ext xmlns:c16="http://schemas.microsoft.com/office/drawing/2014/chart" uri="{C3380CC4-5D6E-409C-BE32-E72D297353CC}">
              <c16:uniqueId val="{00000000-D5F2-4548-96CC-99763098068B}"/>
            </c:ext>
          </c:extLst>
        </c:ser>
        <c:dLbls>
          <c:showLegendKey val="0"/>
          <c:showVal val="0"/>
          <c:showCatName val="0"/>
          <c:showSerName val="0"/>
          <c:showPercent val="0"/>
          <c:showBubbleSize val="0"/>
        </c:dLbls>
        <c:axId val="507649792"/>
        <c:axId val="626141104"/>
      </c:scatterChart>
      <c:scatterChart>
        <c:scatterStyle val="lineMarker"/>
        <c:varyColors val="0"/>
        <c:ser>
          <c:idx val="1"/>
          <c:order val="1"/>
          <c:tx>
            <c:strRef>
              <c:f>[partialVolumeCorrection1.xlsx]Sheet1!$K$69</c:f>
              <c:strCache>
                <c:ptCount val="1"/>
                <c:pt idx="0">
                  <c:v>Phantom Data</c:v>
                </c:pt>
              </c:strCache>
            </c:strRef>
          </c:tx>
          <c:spPr>
            <a:ln w="25400" cap="rnd">
              <a:noFill/>
              <a:round/>
            </a:ln>
            <a:effectLst/>
          </c:spPr>
          <c:marker>
            <c:symbol val="circle"/>
            <c:size val="5"/>
            <c:spPr>
              <a:solidFill>
                <a:schemeClr val="accent2"/>
              </a:solidFill>
              <a:ln w="9525">
                <a:solidFill>
                  <a:schemeClr val="accent2"/>
                </a:solidFill>
              </a:ln>
              <a:effectLst/>
            </c:spPr>
          </c:marker>
          <c:errBars>
            <c:errDir val="y"/>
            <c:errBarType val="both"/>
            <c:errValType val="cust"/>
            <c:noEndCap val="0"/>
            <c:plus>
              <c:numRef>
                <c:f>[partialVolumeCorrection1.xlsx]Sheet1!$L$70:$L$75</c:f>
                <c:numCache>
                  <c:formatCode>General</c:formatCode>
                  <c:ptCount val="6"/>
                  <c:pt idx="0">
                    <c:v>1.6258999999999999</c:v>
                  </c:pt>
                  <c:pt idx="1">
                    <c:v>3.5802</c:v>
                  </c:pt>
                  <c:pt idx="2">
                    <c:v>2.4041999999999999</c:v>
                  </c:pt>
                  <c:pt idx="3">
                    <c:v>6.2317</c:v>
                  </c:pt>
                  <c:pt idx="4">
                    <c:v>12.3277</c:v>
                  </c:pt>
                  <c:pt idx="5">
                    <c:v>13.448599999999999</c:v>
                  </c:pt>
                </c:numCache>
              </c:numRef>
            </c:plus>
            <c:minus>
              <c:numRef>
                <c:f>[partialVolumeCorrection1.xlsx]Sheet1!$L$70:$L$75</c:f>
                <c:numCache>
                  <c:formatCode>General</c:formatCode>
                  <c:ptCount val="6"/>
                  <c:pt idx="0">
                    <c:v>1.6258999999999999</c:v>
                  </c:pt>
                  <c:pt idx="1">
                    <c:v>3.5802</c:v>
                  </c:pt>
                  <c:pt idx="2">
                    <c:v>2.4041999999999999</c:v>
                  </c:pt>
                  <c:pt idx="3">
                    <c:v>6.2317</c:v>
                  </c:pt>
                  <c:pt idx="4">
                    <c:v>12.3277</c:v>
                  </c:pt>
                  <c:pt idx="5">
                    <c:v>13.448599999999999</c:v>
                  </c:pt>
                </c:numCache>
              </c:numRef>
            </c:minus>
            <c:spPr>
              <a:noFill/>
              <a:ln w="9525" cap="flat" cmpd="sng" algn="ctr">
                <a:solidFill>
                  <a:schemeClr val="tx1">
                    <a:lumMod val="65000"/>
                    <a:lumOff val="35000"/>
                  </a:schemeClr>
                </a:solidFill>
                <a:round/>
              </a:ln>
              <a:effectLst/>
            </c:spPr>
          </c:errBars>
          <c:xVal>
            <c:numRef>
              <c:f>[partialVolumeCorrection1.xlsx]Sheet1!$J$70:$J$75</c:f>
              <c:numCache>
                <c:formatCode>General</c:formatCode>
                <c:ptCount val="6"/>
                <c:pt idx="0">
                  <c:v>11.9</c:v>
                </c:pt>
                <c:pt idx="1">
                  <c:v>32.200000000000003</c:v>
                </c:pt>
                <c:pt idx="2">
                  <c:v>62.6</c:v>
                </c:pt>
                <c:pt idx="3">
                  <c:v>177.1</c:v>
                </c:pt>
                <c:pt idx="4">
                  <c:v>503.1</c:v>
                </c:pt>
                <c:pt idx="5">
                  <c:v>1019.4</c:v>
                </c:pt>
              </c:numCache>
            </c:numRef>
          </c:xVal>
          <c:yVal>
            <c:numRef>
              <c:f>[partialVolumeCorrection1.xlsx]Sheet1!$K$70:$K$75</c:f>
              <c:numCache>
                <c:formatCode>General</c:formatCode>
                <c:ptCount val="6"/>
                <c:pt idx="0">
                  <c:v>4.2183000000000002</c:v>
                </c:pt>
                <c:pt idx="1">
                  <c:v>8.8595999999999986</c:v>
                </c:pt>
                <c:pt idx="2">
                  <c:v>7.1134000000000004</c:v>
                </c:pt>
                <c:pt idx="3">
                  <c:v>17.4801</c:v>
                </c:pt>
                <c:pt idx="4">
                  <c:v>39.257799999999996</c:v>
                </c:pt>
                <c:pt idx="5">
                  <c:v>44.5563</c:v>
                </c:pt>
              </c:numCache>
            </c:numRef>
          </c:yVal>
          <c:smooth val="0"/>
          <c:extLst xmlns:c16r2="http://schemas.microsoft.com/office/drawing/2015/06/chart">
            <c:ext xmlns:c16="http://schemas.microsoft.com/office/drawing/2014/chart" uri="{C3380CC4-5D6E-409C-BE32-E72D297353CC}">
              <c16:uniqueId val="{00000001-D5F2-4548-96CC-99763098068B}"/>
            </c:ext>
          </c:extLst>
        </c:ser>
        <c:dLbls>
          <c:showLegendKey val="0"/>
          <c:showVal val="0"/>
          <c:showCatName val="0"/>
          <c:showSerName val="0"/>
          <c:showPercent val="0"/>
          <c:showBubbleSize val="0"/>
        </c:dLbls>
        <c:axId val="507649792"/>
        <c:axId val="626141104"/>
      </c:scatterChart>
      <c:valAx>
        <c:axId val="507649792"/>
        <c:scaling>
          <c:logBase val="10"/>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ROI volume, </a:t>
                </a:r>
                <a:r>
                  <a:rPr lang="en-US" i="1"/>
                  <a:t>V</a:t>
                </a:r>
                <a:r>
                  <a:rPr lang="en-US"/>
                  <a:t>, (</a:t>
                </a:r>
                <a:r>
                  <a:rPr lang="el-GR"/>
                  <a:t>μ</a:t>
                </a:r>
                <a:r>
                  <a:rPr lang="en-US"/>
                  <a:t>L)</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141104"/>
        <c:crosses val="autoZero"/>
        <c:crossBetween val="midCat"/>
      </c:valAx>
      <c:valAx>
        <c:axId val="626141104"/>
        <c:scaling>
          <c:orientation val="minMax"/>
          <c:max val="6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i="1"/>
                  <a:t>S(V)</a:t>
                </a:r>
                <a:r>
                  <a:rPr lang="en-US"/>
                  <a:t> (%</a:t>
                </a:r>
                <a:r>
                  <a:rPr lang="en-US" baseline="0"/>
                  <a:t> of signal inside ROI)</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7649792"/>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44511C2F67DDD4CA63C4F81968B40A8" ma:contentTypeVersion="7" ma:contentTypeDescription="Create a new document." ma:contentTypeScope="" ma:versionID="3ae5daae5e3c7dbd39d3de69d0389271">
  <xsd:schema xmlns:xsd="http://www.w3.org/2001/XMLSchema" xmlns:p="http://schemas.microsoft.com/office/2006/metadata/properties" xmlns:ns2="ad172973-f814-4a39-b309-10c1e6d2da25" targetNamespace="http://schemas.microsoft.com/office/2006/metadata/properties" ma:root="true" ma:fieldsID="1d4528ea5fb28149a6c5bc780b188737" ns2:_="">
    <xsd:import namespace="ad172973-f814-4a39-b309-10c1e6d2da25"/>
    <xsd:element name="properties">
      <xsd:complexType>
        <xsd:sequence>
          <xsd:element name="documentManagement">
            <xsd:complexType>
              <xsd:all>
                <xsd:element ref="ns2:DocumentType" minOccurs="0"/>
                <xsd:element ref="ns2:FileFormat" minOccurs="0"/>
                <xsd:element ref="ns2:DocumentId" minOccurs="0"/>
                <xsd:element ref="ns2:TitleName" minOccurs="0"/>
                <xsd:element ref="ns2:StageName" minOccurs="0"/>
                <xsd:element ref="ns2:IsDeleted" minOccurs="0"/>
                <xsd:element ref="ns2:Checked_x0020_Out_x0020_To" minOccurs="0"/>
              </xsd:all>
            </xsd:complexType>
          </xsd:element>
        </xsd:sequence>
      </xsd:complexType>
    </xsd:element>
  </xsd:schema>
  <xsd:schema xmlns:xsd="http://www.w3.org/2001/XMLSchema" xmlns:dms="http://schemas.microsoft.com/office/2006/documentManagement/types" targetNamespace="ad172973-f814-4a39-b309-10c1e6d2da25" elementFormDefault="qualified">
    <xsd:import namespace="http://schemas.microsoft.com/office/2006/documentManagement/types"/>
    <xsd:element name="DocumentType" ma:index="8" nillable="true" ma:displayName="DocumentType" ma:internalName="DocumentType">
      <xsd:simpleType>
        <xsd:restriction base="dms:Text"/>
      </xsd:simpleType>
    </xsd:element>
    <xsd:element name="FileFormat" ma:index="9" nillable="true" ma:displayName="FileFormat" ma:internalName="FileFormat">
      <xsd:simpleType>
        <xsd:restriction base="dms:Text"/>
      </xsd:simpleType>
    </xsd:element>
    <xsd:element name="DocumentId" ma:index="10" nillable="true" ma:displayName="DocumentId" ma:internalName="DocumentId">
      <xsd:simpleType>
        <xsd:restriction base="dms:Text"/>
      </xsd:simpleType>
    </xsd:element>
    <xsd:element name="TitleName" ma:index="11" nillable="true" ma:displayName="TitleName" ma:internalName="TitleName">
      <xsd:simpleType>
        <xsd:restriction base="dms:Text"/>
      </xsd:simpleType>
    </xsd:element>
    <xsd:element name="StageName" ma:index="12" nillable="true" ma:displayName="StageName" ma:internalName="StageName">
      <xsd:simpleType>
        <xsd:restriction base="dms:Text"/>
      </xsd:simpleType>
    </xsd:element>
    <xsd:element name="IsDeleted" ma:index="13" nillable="true" ma:displayName="IsDeleted" ma:default="0" ma:internalName="IsDeleted">
      <xsd:simpleType>
        <xsd:restriction base="dms:Boolean"/>
      </xsd:simpleType>
    </xsd:element>
    <xsd:element name="Checked_x0020_Out_x0020_To" ma:index="14" nillable="true" ma:displayName="Checked Out To" ma:list="UserInfo" ma:internalName="Checked_x0020_Out_x0020_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cumentId xmlns="ad172973-f814-4a39-b309-10c1e6d2da25">Data Sheet 1.DOCX</DocumentId>
    <StageName xmlns="ad172973-f814-4a39-b309-10c1e6d2da25" xsi:nil="true"/>
    <DocumentType xmlns="ad172973-f814-4a39-b309-10c1e6d2da25">Data Sheet</DocumentType>
    <TitleName xmlns="ad172973-f814-4a39-b309-10c1e6d2da25">Data Sheet 1.DOCX</TitleName>
    <FileFormat xmlns="ad172973-f814-4a39-b309-10c1e6d2da25">DOCX</FileFormat>
    <Checked_x0020_Out_x0020_To xmlns="ad172973-f814-4a39-b309-10c1e6d2da25">
      <UserInfo>
        <DisplayName/>
        <AccountId xsi:nil="true"/>
        <AccountType/>
      </UserInfo>
    </Checked_x0020_Out_x0020_To>
    <IsDeleted xmlns="ad172973-f814-4a39-b309-10c1e6d2da25">false</IsDeleted>
  </documentManagement>
</p:properties>
</file>

<file path=customXml/itemProps1.xml><?xml version="1.0" encoding="utf-8"?>
<ds:datastoreItem xmlns:ds="http://schemas.openxmlformats.org/officeDocument/2006/customXml" ds:itemID="{74DB21DB-421F-4B5A-982E-12EF1DF456A2}"/>
</file>

<file path=customXml/itemProps2.xml><?xml version="1.0" encoding="utf-8"?>
<ds:datastoreItem xmlns:ds="http://schemas.openxmlformats.org/officeDocument/2006/customXml" ds:itemID="{002E7DDF-B8A5-4BF5-8553-DF58F9340F8F}"/>
</file>

<file path=customXml/itemProps3.xml><?xml version="1.0" encoding="utf-8"?>
<ds:datastoreItem xmlns:ds="http://schemas.openxmlformats.org/officeDocument/2006/customXml" ds:itemID="{2AB4D60E-48D3-4891-8D2C-C14A3F59C56B}"/>
</file>

<file path=customXml/itemProps4.xml><?xml version="1.0" encoding="utf-8"?>
<ds:datastoreItem xmlns:ds="http://schemas.openxmlformats.org/officeDocument/2006/customXml" ds:itemID="{C9E2CFFC-A5FD-4641-99E3-81D06EACF0B0}"/>
</file>

<file path=docProps/app.xml><?xml version="1.0" encoding="utf-8"?>
<Properties xmlns="http://schemas.openxmlformats.org/officeDocument/2006/extended-properties" xmlns:vt="http://schemas.openxmlformats.org/officeDocument/2006/docPropsVTypes">
  <Template>Normal.dotm</Template>
  <TotalTime>3580</TotalTime>
  <Pages>3</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NSCL/FRIB</Company>
  <LinksUpToDate>false</LinksUpToDate>
  <CharactersWithSpaces>6189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Severin</dc:creator>
  <cp:keywords/>
  <dc:description/>
  <cp:lastModifiedBy>Severin, Gregory</cp:lastModifiedBy>
  <cp:revision>9</cp:revision>
  <dcterms:created xsi:type="dcterms:W3CDTF">2017-05-16T14:52:00Z</dcterms:created>
  <dcterms:modified xsi:type="dcterms:W3CDTF">2017-05-24T20:27:00Z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0x010100A44511C2F67DDD4CA63C4F81968B40A8</vt:lpwstr>
  </property>
</Properties>
</file>